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296D9" w14:textId="77777777" w:rsidR="00E50B69" w:rsidRPr="00075CCB" w:rsidRDefault="00E50B69" w:rsidP="00132E8E">
      <w:pPr>
        <w:jc w:val="center"/>
        <w:rPr>
          <w:rFonts w:ascii="Times New Roman" w:hAnsi="Times New Roman" w:cs="Times New Roman"/>
          <w:b/>
          <w:sz w:val="24"/>
          <w:szCs w:val="24"/>
          <w:lang w:val="en-US"/>
        </w:rPr>
      </w:pPr>
    </w:p>
    <w:p w14:paraId="7121C7D7" w14:textId="77777777" w:rsidR="00132E8E" w:rsidRPr="00FD78FC" w:rsidRDefault="00132E8E" w:rsidP="00132E8E">
      <w:pPr>
        <w:jc w:val="center"/>
        <w:rPr>
          <w:rFonts w:ascii="Times New Roman" w:hAnsi="Times New Roman" w:cs="Times New Roman"/>
          <w:b/>
          <w:bCs/>
          <w:color w:val="FF0000"/>
        </w:rPr>
      </w:pPr>
    </w:p>
    <w:p w14:paraId="37FC681C" w14:textId="77777777"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p>
    <w:p w14:paraId="6932CE50"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с проектни предложения </w:t>
      </w:r>
      <w:r w:rsidR="00D24E27" w:rsidRPr="007713C1">
        <w:rPr>
          <w:rFonts w:ascii="Times New Roman" w:hAnsi="Times New Roman" w:cs="Times New Roman"/>
          <w:b/>
          <w:sz w:val="32"/>
          <w:szCs w:val="32"/>
        </w:rPr>
        <w:t xml:space="preserve">за предоставяне </w:t>
      </w:r>
      <w:r>
        <w:rPr>
          <w:rFonts w:ascii="Times New Roman" w:hAnsi="Times New Roman" w:cs="Times New Roman"/>
          <w:b/>
          <w:sz w:val="32"/>
          <w:szCs w:val="32"/>
        </w:rPr>
        <w:t>на безвъзмездна финансова помощ</w:t>
      </w:r>
    </w:p>
    <w:p w14:paraId="5D21D297" w14:textId="77777777" w:rsidR="00D24E27" w:rsidRPr="007713C1" w:rsidRDefault="00D24E27" w:rsidP="00A92E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по</w:t>
      </w:r>
    </w:p>
    <w:p w14:paraId="7598CA89"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Програма за развитие на селските райони  </w:t>
      </w:r>
      <w:r w:rsidR="00D24E27" w:rsidRPr="007713C1">
        <w:rPr>
          <w:rFonts w:ascii="Times New Roman" w:hAnsi="Times New Roman" w:cs="Times New Roman"/>
          <w:b/>
          <w:sz w:val="32"/>
          <w:szCs w:val="32"/>
        </w:rPr>
        <w:t>2014-2020</w:t>
      </w:r>
    </w:p>
    <w:p w14:paraId="019EE841" w14:textId="77777777" w:rsidR="00BD49D7" w:rsidRDefault="00BD49D7"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чрез подхода</w:t>
      </w:r>
    </w:p>
    <w:p w14:paraId="4840AA1A" w14:textId="77777777" w:rsidR="007718CE" w:rsidRPr="00925B41" w:rsidRDefault="00170A94" w:rsidP="00BF2C64">
      <w:pPr>
        <w:spacing w:before="160" w:line="360" w:lineRule="auto"/>
        <w:jc w:val="center"/>
        <w:rPr>
          <w:rFonts w:ascii="Times New Roman" w:hAnsi="Times New Roman" w:cs="Times New Roman"/>
          <w:b/>
          <w:sz w:val="32"/>
          <w:szCs w:val="32"/>
        </w:rPr>
      </w:pPr>
      <w:r w:rsidRPr="00925B41">
        <w:rPr>
          <w:rFonts w:ascii="Times New Roman" w:hAnsi="Times New Roman" w:cs="Times New Roman"/>
          <w:b/>
          <w:sz w:val="32"/>
          <w:szCs w:val="32"/>
        </w:rPr>
        <w:t>ВОДЕНО ОТ ОБЩНОСТИТЕ МЕСТНО РАЗВИТИЕ</w:t>
      </w:r>
    </w:p>
    <w:p w14:paraId="73CA92E4" w14:textId="77777777" w:rsidR="00177AC9" w:rsidRPr="007713C1" w:rsidRDefault="00177AC9" w:rsidP="009C0B06">
      <w:pPr>
        <w:jc w:val="center"/>
        <w:rPr>
          <w:rFonts w:ascii="Times New Roman" w:hAnsi="Times New Roman" w:cs="Times New Roman"/>
        </w:rPr>
      </w:pP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340"/>
      </w:tblGrid>
      <w:tr w:rsidR="00D24E27" w:rsidRPr="007713C1" w14:paraId="331AB0D1" w14:textId="77777777" w:rsidTr="00BF2C64">
        <w:trPr>
          <w:trHeight w:val="470"/>
        </w:trPr>
        <w:tc>
          <w:tcPr>
            <w:tcW w:w="9496" w:type="dxa"/>
            <w:shd w:val="clear" w:color="auto" w:fill="CCECFF"/>
          </w:tcPr>
          <w:p w14:paraId="3D722C44" w14:textId="61588F01" w:rsidR="00D24E27" w:rsidRPr="00FD78FC" w:rsidRDefault="00D24E27" w:rsidP="009A274C">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предложения</w:t>
            </w:r>
            <w:r w:rsidR="00391B57">
              <w:rPr>
                <w:b/>
                <w:sz w:val="28"/>
                <w:szCs w:val="28"/>
              </w:rPr>
              <w:t xml:space="preserve"> с </w:t>
            </w:r>
            <w:r w:rsidR="002C5153">
              <w:rPr>
                <w:b/>
                <w:sz w:val="28"/>
                <w:szCs w:val="28"/>
              </w:rPr>
              <w:t>няколко</w:t>
            </w:r>
            <w:r w:rsidR="00F25683" w:rsidRPr="00FD78FC">
              <w:rPr>
                <w:b/>
                <w:sz w:val="28"/>
                <w:szCs w:val="28"/>
              </w:rPr>
              <w:t xml:space="preserve"> </w:t>
            </w:r>
            <w:r w:rsidR="00931F25">
              <w:rPr>
                <w:b/>
                <w:sz w:val="28"/>
                <w:szCs w:val="28"/>
              </w:rPr>
              <w:t xml:space="preserve">крайни </w:t>
            </w:r>
            <w:r w:rsidRPr="00FD78FC">
              <w:rPr>
                <w:b/>
                <w:sz w:val="28"/>
                <w:szCs w:val="28"/>
              </w:rPr>
              <w:t>срока за кандидатстване</w:t>
            </w:r>
          </w:p>
          <w:p w14:paraId="6018F4DC" w14:textId="4279EB51" w:rsidR="00D24E27" w:rsidRDefault="00D24E27" w:rsidP="00F2638C">
            <w:pPr>
              <w:spacing w:before="240" w:after="240"/>
              <w:jc w:val="center"/>
              <w:rPr>
                <w:b/>
                <w:caps/>
                <w:color w:val="000000" w:themeColor="text1"/>
                <w:sz w:val="28"/>
                <w:szCs w:val="28"/>
              </w:rPr>
            </w:pPr>
            <w:r w:rsidRPr="00FD78FC">
              <w:rPr>
                <w:b/>
                <w:sz w:val="28"/>
                <w:szCs w:val="28"/>
              </w:rPr>
              <w:t>BG0</w:t>
            </w:r>
            <w:r w:rsidR="00F2638C">
              <w:rPr>
                <w:b/>
                <w:sz w:val="28"/>
                <w:szCs w:val="28"/>
                <w:lang w:val="en-US"/>
              </w:rPr>
              <w:t>6RDNP001-19</w:t>
            </w:r>
            <w:r w:rsidR="008916EB">
              <w:rPr>
                <w:b/>
                <w:sz w:val="28"/>
                <w:szCs w:val="28"/>
              </w:rPr>
              <w:t>.</w:t>
            </w:r>
            <w:r w:rsidR="00934856">
              <w:rPr>
                <w:b/>
                <w:sz w:val="28"/>
                <w:szCs w:val="28"/>
              </w:rPr>
              <w:t xml:space="preserve">002 </w:t>
            </w:r>
            <w:r w:rsidR="008916EB">
              <w:rPr>
                <w:b/>
                <w:sz w:val="28"/>
                <w:szCs w:val="28"/>
              </w:rPr>
              <w:t>МИГ_Поморие_10_1_</w:t>
            </w:r>
            <w:r w:rsidR="00D80675">
              <w:rPr>
                <w:b/>
                <w:sz w:val="28"/>
                <w:szCs w:val="28"/>
                <w:lang w:val="en-US"/>
              </w:rPr>
              <w:t xml:space="preserve">7.2. </w:t>
            </w:r>
            <w:r w:rsidR="008916EB">
              <w:rPr>
                <w:b/>
                <w:sz w:val="28"/>
                <w:szCs w:val="28"/>
              </w:rPr>
              <w:t>М4_</w:t>
            </w:r>
            <w:r w:rsidR="00925B41">
              <w:rPr>
                <w:b/>
                <w:color w:val="000000" w:themeColor="text1"/>
                <w:sz w:val="28"/>
                <w:szCs w:val="28"/>
              </w:rPr>
              <w:t>“</w:t>
            </w:r>
            <w:r w:rsidR="00A92EA8">
              <w:rPr>
                <w:b/>
                <w:color w:val="000000" w:themeColor="text1"/>
                <w:sz w:val="28"/>
                <w:szCs w:val="28"/>
              </w:rPr>
              <w:t xml:space="preserve">ИНВЕСТИЦИИ В </w:t>
            </w:r>
            <w:r w:rsidR="004527D7">
              <w:rPr>
                <w:b/>
                <w:color w:val="000000" w:themeColor="text1"/>
                <w:sz w:val="28"/>
                <w:szCs w:val="28"/>
              </w:rPr>
              <w:t>СЪЗДАВАНЕТО, ПОДОБРЯВАНЕТО ИЛИ РАЗШИРЯВАНЕТО НА ВСИЧ</w:t>
            </w:r>
            <w:r w:rsidR="0006155D">
              <w:rPr>
                <w:b/>
                <w:color w:val="000000" w:themeColor="text1"/>
                <w:sz w:val="28"/>
                <w:szCs w:val="28"/>
              </w:rPr>
              <w:t>КИ ВИДОВЕ МАЛКА ПО МАЩАБИ ИНФРА</w:t>
            </w:r>
            <w:r w:rsidR="004527D7">
              <w:rPr>
                <w:b/>
                <w:color w:val="000000" w:themeColor="text1"/>
                <w:sz w:val="28"/>
                <w:szCs w:val="28"/>
              </w:rPr>
              <w:t>С</w:t>
            </w:r>
            <w:r w:rsidR="0006155D">
              <w:rPr>
                <w:b/>
                <w:color w:val="000000" w:themeColor="text1"/>
                <w:sz w:val="28"/>
                <w:szCs w:val="28"/>
              </w:rPr>
              <w:t>Т</w:t>
            </w:r>
            <w:r w:rsidR="004527D7">
              <w:rPr>
                <w:b/>
                <w:color w:val="000000" w:themeColor="text1"/>
                <w:sz w:val="28"/>
                <w:szCs w:val="28"/>
              </w:rPr>
              <w:t>РУКТУРА</w:t>
            </w:r>
            <w:r w:rsidR="00925B41">
              <w:rPr>
                <w:b/>
                <w:caps/>
                <w:color w:val="000000" w:themeColor="text1"/>
                <w:sz w:val="28"/>
                <w:szCs w:val="28"/>
              </w:rPr>
              <w:t>”</w:t>
            </w:r>
          </w:p>
          <w:p w14:paraId="387672B1" w14:textId="77777777" w:rsidR="00445CEF" w:rsidRPr="00FD78FC" w:rsidRDefault="00445CEF" w:rsidP="00F2638C">
            <w:pPr>
              <w:spacing w:before="240" w:after="240"/>
              <w:jc w:val="center"/>
            </w:pPr>
            <w:r>
              <w:t>МЕСТНА ИНИЦИАТИВНА ГРУПА ПОМОРИЕ</w:t>
            </w:r>
          </w:p>
        </w:tc>
      </w:tr>
    </w:tbl>
    <w:p w14:paraId="21FE0477" w14:textId="77777777" w:rsidR="007718CE" w:rsidRPr="00FD78FC" w:rsidRDefault="007718CE" w:rsidP="009C0B06">
      <w:pPr>
        <w:jc w:val="center"/>
        <w:rPr>
          <w:rFonts w:ascii="Times New Roman" w:hAnsi="Times New Roman" w:cs="Times New Roman"/>
        </w:rPr>
      </w:pPr>
    </w:p>
    <w:p w14:paraId="28FE0819" w14:textId="77777777" w:rsidR="008D413D" w:rsidRPr="00FD78FC" w:rsidRDefault="008D413D" w:rsidP="009C0B06">
      <w:pPr>
        <w:jc w:val="center"/>
        <w:rPr>
          <w:rFonts w:ascii="Times New Roman" w:hAnsi="Times New Roman" w:cs="Times New Roman"/>
        </w:rPr>
      </w:pPr>
    </w:p>
    <w:p w14:paraId="348969C5" w14:textId="77777777" w:rsidR="009C0B06" w:rsidRPr="00FD78FC" w:rsidRDefault="00AF5CC7" w:rsidP="009C0B06">
      <w:pPr>
        <w:jc w:val="center"/>
        <w:rPr>
          <w:rFonts w:ascii="Times New Roman" w:hAnsi="Times New Roman" w:cs="Times New Roman"/>
        </w:rPr>
      </w:pPr>
      <w:r>
        <w:rPr>
          <w:rFonts w:ascii="Times New Roman" w:hAnsi="Times New Roman" w:cs="Times New Roman"/>
          <w:noProof/>
          <w:lang w:val="en-US"/>
        </w:rPr>
        <mc:AlternateContent>
          <mc:Choice Requires="wpc">
            <w:drawing>
              <wp:inline distT="0" distB="0" distL="0" distR="0" wp14:anchorId="5446C21A" wp14:editId="39913743">
                <wp:extent cx="5991225" cy="419100"/>
                <wp:effectExtent l="4445" t="1905"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mv="urn:schemas-microsoft-com:mac:vml" xmlns:mo="http://schemas.microsoft.com/office/mac/office/2008/main">
            <w:pict>
              <v:group w14:anchorId="74770130"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16AB775F" w14:textId="77777777" w:rsidR="00D24E27" w:rsidRPr="007713C1" w:rsidRDefault="00D24E27">
      <w:pPr>
        <w:rPr>
          <w:rFonts w:ascii="Times New Roman" w:eastAsia="Times New Roman" w:hAnsi="Times New Roman" w:cs="Times New Roman"/>
          <w:b/>
          <w:bCs/>
          <w:noProof/>
          <w:snapToGrid w:val="0"/>
        </w:rPr>
      </w:pPr>
      <w:r w:rsidRPr="007713C1">
        <w:rPr>
          <w:rFonts w:ascii="Times New Roman" w:hAnsi="Times New Roman" w:cs="Times New Roman"/>
          <w:b/>
        </w:rPr>
        <w:br w:type="page"/>
      </w:r>
    </w:p>
    <w:p w14:paraId="4B0F31F5" w14:textId="77777777" w:rsidR="003A2D4B" w:rsidRPr="007713C1" w:rsidRDefault="003A2D4B" w:rsidP="007F5391">
      <w:pPr>
        <w:rPr>
          <w:rFonts w:ascii="Times New Roman" w:hAnsi="Times New Roman" w:cs="Times New Roman"/>
          <w:b/>
          <w:sz w:val="28"/>
          <w:szCs w:val="28"/>
        </w:rPr>
      </w:pPr>
      <w:r w:rsidRPr="007713C1">
        <w:rPr>
          <w:rFonts w:ascii="Times New Roman" w:hAnsi="Times New Roman" w:cs="Times New Roman"/>
          <w:b/>
          <w:sz w:val="28"/>
          <w:szCs w:val="28"/>
        </w:rPr>
        <w:lastRenderedPageBreak/>
        <w:t>СЪДЪРЖАНИЕ:</w:t>
      </w:r>
    </w:p>
    <w:sdt>
      <w:sdtPr>
        <w:rPr>
          <w:rFonts w:asciiTheme="minorHAnsi" w:hAnsiTheme="minorHAnsi" w:cstheme="minorBidi"/>
          <w:b w:val="0"/>
          <w:color w:val="auto"/>
          <w:sz w:val="24"/>
          <w:szCs w:val="24"/>
          <w:lang w:eastAsia="en-US"/>
        </w:rPr>
        <w:id w:val="1082108175"/>
        <w:docPartObj>
          <w:docPartGallery w:val="Table of Contents"/>
          <w:docPartUnique/>
        </w:docPartObj>
      </w:sdtPr>
      <w:sdtEndPr>
        <w:rPr>
          <w:bCs/>
        </w:rPr>
      </w:sdtEndPr>
      <w:sdtContent>
        <w:p w14:paraId="20FC518F" w14:textId="77777777" w:rsidR="0035525C" w:rsidRPr="00C507D2" w:rsidRDefault="0035525C">
          <w:pPr>
            <w:pStyle w:val="TOCHeading"/>
            <w:rPr>
              <w:sz w:val="24"/>
              <w:szCs w:val="24"/>
            </w:rPr>
          </w:pPr>
        </w:p>
        <w:p w14:paraId="46F9C2CC" w14:textId="77777777" w:rsidR="00C507D2" w:rsidRPr="00C507D2" w:rsidRDefault="0035525C">
          <w:pPr>
            <w:pStyle w:val="TOC1"/>
            <w:rPr>
              <w:rFonts w:ascii="Times New Roman" w:eastAsiaTheme="minorEastAsia" w:hAnsi="Times New Roman" w:cs="Times New Roman"/>
              <w:b w:val="0"/>
              <w:bCs w:val="0"/>
              <w:noProof/>
              <w:sz w:val="22"/>
              <w:szCs w:val="22"/>
              <w:lang w:eastAsia="bg-BG"/>
            </w:rPr>
          </w:pPr>
          <w:r w:rsidRPr="00C507D2">
            <w:rPr>
              <w:rFonts w:ascii="Times New Roman" w:hAnsi="Times New Roman" w:cs="Times New Roman"/>
            </w:rPr>
            <w:fldChar w:fldCharType="begin"/>
          </w:r>
          <w:r w:rsidRPr="00C507D2">
            <w:rPr>
              <w:rFonts w:ascii="Times New Roman" w:hAnsi="Times New Roman" w:cs="Times New Roman"/>
            </w:rPr>
            <w:instrText xml:space="preserve"> TOC \o "1-3" \h \z \u </w:instrText>
          </w:r>
          <w:r w:rsidRPr="00C507D2">
            <w:rPr>
              <w:rFonts w:ascii="Times New Roman" w:hAnsi="Times New Roman" w:cs="Times New Roman"/>
            </w:rPr>
            <w:fldChar w:fldCharType="separate"/>
          </w:r>
          <w:hyperlink w:anchor="_Toc534292197" w:history="1">
            <w:r w:rsidR="00C507D2" w:rsidRPr="00C507D2">
              <w:rPr>
                <w:rStyle w:val="Hyperlink"/>
                <w:rFonts w:ascii="Times New Roman" w:hAnsi="Times New Roman" w:cs="Times New Roman"/>
                <w:noProof/>
              </w:rPr>
              <w:t>1. Наименование на програмата: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76B2F083"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198" w:history="1">
            <w:r w:rsidR="00C507D2" w:rsidRPr="00C507D2">
              <w:rPr>
                <w:rStyle w:val="Hyperlink"/>
                <w:rFonts w:ascii="Times New Roman" w:hAnsi="Times New Roman" w:cs="Times New Roman"/>
                <w:noProof/>
              </w:rPr>
              <w:t>2. Наименование на приоритетната ос:</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49C1BAB7"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199" w:history="1">
            <w:r w:rsidR="00C507D2" w:rsidRPr="00C507D2">
              <w:rPr>
                <w:rStyle w:val="Hyperlink"/>
                <w:rFonts w:ascii="Times New Roman" w:hAnsi="Times New Roman" w:cs="Times New Roman"/>
                <w:noProof/>
              </w:rPr>
              <w:t>3. Наименование на процедурата: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2824D254"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0" w:history="1">
            <w:r w:rsidR="00C507D2" w:rsidRPr="00C507D2">
              <w:rPr>
                <w:rStyle w:val="Hyperlink"/>
                <w:rFonts w:ascii="Times New Roman" w:hAnsi="Times New Roman" w:cs="Times New Roman"/>
                <w:noProof/>
              </w:rPr>
              <w:t>4. Измерения по кодове: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27A59DCF"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1" w:history="1">
            <w:r w:rsidR="00C507D2" w:rsidRPr="00C507D2">
              <w:rPr>
                <w:rStyle w:val="Hyperlink"/>
                <w:rFonts w:ascii="Times New Roman" w:hAnsi="Times New Roman" w:cs="Times New Roman"/>
                <w:noProof/>
              </w:rPr>
              <w:t>5. Териториален обхват: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17A3D802"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2" w:history="1">
            <w:r w:rsidR="00C507D2" w:rsidRPr="00C507D2">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03A274FC"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3" w:history="1">
            <w:r w:rsidR="00C507D2" w:rsidRPr="00C507D2">
              <w:rPr>
                <w:rStyle w:val="Hyperlink"/>
                <w:rFonts w:ascii="Times New Roman" w:hAnsi="Times New Roman" w:cs="Times New Roman"/>
                <w:noProof/>
              </w:rPr>
              <w:t>7. Индикатори: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11</w:t>
            </w:r>
            <w:r w:rsidR="00C507D2" w:rsidRPr="00C507D2">
              <w:rPr>
                <w:rFonts w:ascii="Times New Roman" w:hAnsi="Times New Roman" w:cs="Times New Roman"/>
                <w:noProof/>
                <w:webHidden/>
              </w:rPr>
              <w:fldChar w:fldCharType="end"/>
            </w:r>
          </w:hyperlink>
        </w:p>
        <w:p w14:paraId="0A6E9A21"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4" w:history="1">
            <w:r w:rsidR="00C507D2" w:rsidRPr="00C507D2">
              <w:rPr>
                <w:rStyle w:val="Hyperlink"/>
                <w:rFonts w:ascii="Times New Roman" w:hAnsi="Times New Roman" w:cs="Times New Roman"/>
                <w:noProof/>
              </w:rPr>
              <w:t>8. Общ размер на безвъзмездната финансова помощ по процедурата: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12</w:t>
            </w:r>
            <w:r w:rsidR="00C507D2" w:rsidRPr="00C507D2">
              <w:rPr>
                <w:rFonts w:ascii="Times New Roman" w:hAnsi="Times New Roman" w:cs="Times New Roman"/>
                <w:noProof/>
                <w:webHidden/>
              </w:rPr>
              <w:fldChar w:fldCharType="end"/>
            </w:r>
          </w:hyperlink>
        </w:p>
        <w:p w14:paraId="501B8867"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5" w:history="1">
            <w:r w:rsidR="00C507D2" w:rsidRPr="00C507D2">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12</w:t>
            </w:r>
            <w:r w:rsidR="00C507D2" w:rsidRPr="00C507D2">
              <w:rPr>
                <w:rFonts w:ascii="Times New Roman" w:hAnsi="Times New Roman" w:cs="Times New Roman"/>
                <w:noProof/>
                <w:webHidden/>
              </w:rPr>
              <w:fldChar w:fldCharType="end"/>
            </w:r>
          </w:hyperlink>
        </w:p>
        <w:p w14:paraId="4B4CBBE5"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6" w:history="1">
            <w:r w:rsidR="00C507D2" w:rsidRPr="00C507D2">
              <w:rPr>
                <w:rStyle w:val="Hyperlink"/>
                <w:rFonts w:ascii="Times New Roman" w:hAnsi="Times New Roman" w:cs="Times New Roman"/>
                <w:noProof/>
              </w:rPr>
              <w:t>10. Процент на съфинансиране: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59D13048"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7" w:history="1">
            <w:r w:rsidR="00C507D2" w:rsidRPr="00C507D2">
              <w:rPr>
                <w:rStyle w:val="Hyperlink"/>
                <w:rFonts w:ascii="Times New Roman" w:hAnsi="Times New Roman" w:cs="Times New Roman"/>
                <w:noProof/>
              </w:rPr>
              <w:t>11. Допустими кандидати: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4936302B"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08" w:history="1">
            <w:r w:rsidR="00C507D2" w:rsidRPr="00C507D2">
              <w:rPr>
                <w:rStyle w:val="Hyperlink"/>
                <w:rFonts w:ascii="Times New Roman" w:hAnsi="Times New Roman" w:cs="Times New Roman"/>
                <w:noProof/>
              </w:rPr>
              <w:t>11.1. Критерии за допустимост на кандидатите: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3EE2BEAF"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09" w:history="1">
            <w:r w:rsidR="00C507D2" w:rsidRPr="00C507D2">
              <w:rPr>
                <w:rStyle w:val="Hyperlink"/>
                <w:rFonts w:ascii="Times New Roman" w:hAnsi="Times New Roman" w:cs="Times New Roman"/>
                <w:noProof/>
              </w:rPr>
              <w:t>12. Допустими партньори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1BBA09FB"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10" w:history="1">
            <w:r w:rsidR="00C507D2" w:rsidRPr="00C507D2">
              <w:rPr>
                <w:rStyle w:val="Hyperlink"/>
                <w:rFonts w:ascii="Times New Roman" w:hAnsi="Times New Roman" w:cs="Times New Roman"/>
                <w:noProof/>
              </w:rPr>
              <w:t>13. Дейности, допустими за 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4B1DA3D2"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1" w:history="1">
            <w:r w:rsidR="00C507D2" w:rsidRPr="00C507D2">
              <w:rPr>
                <w:rStyle w:val="Hyperlink"/>
                <w:rFonts w:ascii="Times New Roman" w:hAnsi="Times New Roman" w:cs="Times New Roman"/>
                <w:noProof/>
              </w:rPr>
              <w:t>13.1: Допустими дейности: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4B228DA0"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2" w:history="1">
            <w:r w:rsidR="00C507D2" w:rsidRPr="00C507D2">
              <w:rPr>
                <w:rStyle w:val="Hyperlink"/>
                <w:rFonts w:ascii="Times New Roman" w:hAnsi="Times New Roman" w:cs="Times New Roman"/>
                <w:noProof/>
              </w:rPr>
              <w:t>13.2. Условия за допустимост на дейностите: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17</w:t>
            </w:r>
            <w:r w:rsidR="00C507D2" w:rsidRPr="00C507D2">
              <w:rPr>
                <w:rFonts w:ascii="Times New Roman" w:hAnsi="Times New Roman" w:cs="Times New Roman"/>
                <w:noProof/>
                <w:webHidden/>
              </w:rPr>
              <w:fldChar w:fldCharType="end"/>
            </w:r>
          </w:hyperlink>
        </w:p>
        <w:p w14:paraId="07A000E8"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3" w:history="1">
            <w:r w:rsidR="00C507D2" w:rsidRPr="00C507D2">
              <w:rPr>
                <w:rStyle w:val="Hyperlink"/>
                <w:rFonts w:ascii="Times New Roman" w:hAnsi="Times New Roman" w:cs="Times New Roman"/>
                <w:noProof/>
              </w:rPr>
              <w:t>13.3. Недопустими дейности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204F663A"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14" w:history="1">
            <w:r w:rsidR="00C507D2" w:rsidRPr="00C507D2">
              <w:rPr>
                <w:rStyle w:val="Hyperlink"/>
                <w:rFonts w:ascii="Times New Roman" w:hAnsi="Times New Roman" w:cs="Times New Roman"/>
                <w:noProof/>
              </w:rPr>
              <w:t>14. Категории разходи, допустими за 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21117D6A"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5" w:history="1">
            <w:r w:rsidR="00C507D2" w:rsidRPr="00C507D2">
              <w:rPr>
                <w:rStyle w:val="Hyperlink"/>
                <w:rFonts w:ascii="Times New Roman" w:hAnsi="Times New Roman" w:cs="Times New Roman"/>
                <w:noProof/>
              </w:rPr>
              <w:t>14.1. Допустими разходи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370503C8"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6" w:history="1">
            <w:r w:rsidR="00C507D2" w:rsidRPr="00C507D2">
              <w:rPr>
                <w:rStyle w:val="Hyperlink"/>
                <w:rFonts w:ascii="Times New Roman" w:hAnsi="Times New Roman" w:cs="Times New Roman"/>
                <w:noProof/>
              </w:rPr>
              <w:t>14.2. Условия за допустимост на разходите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20</w:t>
            </w:r>
            <w:r w:rsidR="00C507D2" w:rsidRPr="00C507D2">
              <w:rPr>
                <w:rFonts w:ascii="Times New Roman" w:hAnsi="Times New Roman" w:cs="Times New Roman"/>
                <w:noProof/>
                <w:webHidden/>
              </w:rPr>
              <w:fldChar w:fldCharType="end"/>
            </w:r>
          </w:hyperlink>
        </w:p>
        <w:p w14:paraId="566ED2F1"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17" w:history="1">
            <w:r w:rsidR="00C507D2" w:rsidRPr="00C507D2">
              <w:rPr>
                <w:rStyle w:val="Hyperlink"/>
                <w:rFonts w:ascii="Times New Roman" w:hAnsi="Times New Roman" w:cs="Times New Roman"/>
                <w:noProof/>
              </w:rPr>
              <w:t>14.3. Недопустими разходи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21</w:t>
            </w:r>
            <w:r w:rsidR="00C507D2" w:rsidRPr="00C507D2">
              <w:rPr>
                <w:rFonts w:ascii="Times New Roman" w:hAnsi="Times New Roman" w:cs="Times New Roman"/>
                <w:noProof/>
                <w:webHidden/>
              </w:rPr>
              <w:fldChar w:fldCharType="end"/>
            </w:r>
          </w:hyperlink>
        </w:p>
        <w:p w14:paraId="749F45BC"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18" w:history="1">
            <w:r w:rsidR="00C507D2" w:rsidRPr="00C507D2">
              <w:rPr>
                <w:rStyle w:val="Hyperlink"/>
                <w:rFonts w:ascii="Times New Roman" w:hAnsi="Times New Roman" w:cs="Times New Roman"/>
                <w:noProof/>
              </w:rPr>
              <w:t>15. Допустими целеви групи :</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22</w:t>
            </w:r>
            <w:r w:rsidR="00C507D2" w:rsidRPr="00C507D2">
              <w:rPr>
                <w:rFonts w:ascii="Times New Roman" w:hAnsi="Times New Roman" w:cs="Times New Roman"/>
                <w:noProof/>
                <w:webHidden/>
              </w:rPr>
              <w:fldChar w:fldCharType="end"/>
            </w:r>
          </w:hyperlink>
        </w:p>
        <w:p w14:paraId="1D432380"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19" w:history="1">
            <w:r w:rsidR="00C507D2" w:rsidRPr="00C507D2">
              <w:rPr>
                <w:rStyle w:val="Hyperlink"/>
                <w:rFonts w:ascii="Times New Roman" w:hAnsi="Times New Roman" w:cs="Times New Roman"/>
                <w:noProof/>
              </w:rPr>
              <w:t>16. Приложим режим на минимални помощи: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22</w:t>
            </w:r>
            <w:r w:rsidR="00C507D2" w:rsidRPr="00C507D2">
              <w:rPr>
                <w:rFonts w:ascii="Times New Roman" w:hAnsi="Times New Roman" w:cs="Times New Roman"/>
                <w:noProof/>
                <w:webHidden/>
              </w:rPr>
              <w:fldChar w:fldCharType="end"/>
            </w:r>
          </w:hyperlink>
        </w:p>
        <w:p w14:paraId="33B5B60D"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0" w:history="1">
            <w:r w:rsidR="00C507D2" w:rsidRPr="00C507D2">
              <w:rPr>
                <w:rStyle w:val="Hyperlink"/>
                <w:rFonts w:ascii="Times New Roman" w:hAnsi="Times New Roman" w:cs="Times New Roman"/>
                <w:noProof/>
              </w:rPr>
              <w:t>17. Хоризонтални политики: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30</w:t>
            </w:r>
            <w:r w:rsidR="00C507D2" w:rsidRPr="00C507D2">
              <w:rPr>
                <w:rFonts w:ascii="Times New Roman" w:hAnsi="Times New Roman" w:cs="Times New Roman"/>
                <w:noProof/>
                <w:webHidden/>
              </w:rPr>
              <w:fldChar w:fldCharType="end"/>
            </w:r>
          </w:hyperlink>
        </w:p>
        <w:p w14:paraId="5D15CE50"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1" w:history="1">
            <w:r w:rsidR="00C507D2" w:rsidRPr="00C507D2">
              <w:rPr>
                <w:rStyle w:val="Hyperlink"/>
                <w:rFonts w:ascii="Times New Roman" w:hAnsi="Times New Roman" w:cs="Times New Roman"/>
                <w:noProof/>
              </w:rPr>
              <w:t>18. Минимален и максимален срок за изпълнение на проекта: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2898B8BE"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2" w:history="1">
            <w:r w:rsidR="00C507D2" w:rsidRPr="00C507D2">
              <w:rPr>
                <w:rStyle w:val="Hyperlink"/>
                <w:rFonts w:ascii="Times New Roman" w:hAnsi="Times New Roman" w:cs="Times New Roman"/>
                <w:noProof/>
              </w:rPr>
              <w:t>19. Ред за оценяване на концепциите за проектни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5F41729"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3" w:history="1">
            <w:r w:rsidR="00C507D2" w:rsidRPr="00C507D2">
              <w:rPr>
                <w:rStyle w:val="Hyperlink"/>
                <w:rFonts w:ascii="Times New Roman" w:hAnsi="Times New Roman" w:cs="Times New Roman"/>
                <w:noProof/>
              </w:rPr>
              <w:t>20. Критерии и методика за оценка на концепциите за проектни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02933F9"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4" w:history="1">
            <w:r w:rsidR="00C507D2" w:rsidRPr="00C507D2">
              <w:rPr>
                <w:rStyle w:val="Hyperlink"/>
                <w:rFonts w:ascii="Times New Roman" w:hAnsi="Times New Roman" w:cs="Times New Roman"/>
                <w:noProof/>
              </w:rPr>
              <w:t>21. Ред за оценяване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47BB9426"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25" w:history="1">
            <w:r w:rsidR="00C507D2" w:rsidRPr="00C507D2">
              <w:rPr>
                <w:rStyle w:val="Hyperlink"/>
                <w:rFonts w:ascii="Times New Roman" w:hAnsi="Times New Roman" w:cs="Times New Roman"/>
                <w:noProof/>
              </w:rPr>
              <w:t>21.1. Оценка на административното съответствие и допустимост: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22F5498"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26" w:history="1">
            <w:r w:rsidR="00C507D2" w:rsidRPr="00C507D2">
              <w:rPr>
                <w:rStyle w:val="Hyperlink"/>
                <w:rFonts w:ascii="Times New Roman" w:hAnsi="Times New Roman" w:cs="Times New Roman"/>
                <w:noProof/>
              </w:rPr>
              <w:t>21.2 Техническа и финансова оценка: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33</w:t>
            </w:r>
            <w:r w:rsidR="00C507D2" w:rsidRPr="00C507D2">
              <w:rPr>
                <w:rFonts w:ascii="Times New Roman" w:hAnsi="Times New Roman" w:cs="Times New Roman"/>
                <w:noProof/>
                <w:webHidden/>
              </w:rPr>
              <w:fldChar w:fldCharType="end"/>
            </w:r>
          </w:hyperlink>
        </w:p>
        <w:p w14:paraId="6CCD0476"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7" w:history="1">
            <w:r w:rsidR="00C507D2" w:rsidRPr="00C507D2">
              <w:rPr>
                <w:rStyle w:val="Hyperlink"/>
                <w:rFonts w:ascii="Times New Roman" w:hAnsi="Times New Roman" w:cs="Times New Roman"/>
                <w:noProof/>
              </w:rPr>
              <w:t>22. Критерии и методика за оценка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34</w:t>
            </w:r>
            <w:r w:rsidR="00C507D2" w:rsidRPr="00C507D2">
              <w:rPr>
                <w:rFonts w:ascii="Times New Roman" w:hAnsi="Times New Roman" w:cs="Times New Roman"/>
                <w:noProof/>
                <w:webHidden/>
              </w:rPr>
              <w:fldChar w:fldCharType="end"/>
            </w:r>
          </w:hyperlink>
        </w:p>
        <w:p w14:paraId="10311A62"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8" w:history="1">
            <w:r w:rsidR="00C507D2" w:rsidRPr="00C507D2">
              <w:rPr>
                <w:rStyle w:val="Hyperlink"/>
                <w:rFonts w:ascii="Times New Roman" w:hAnsi="Times New Roman" w:cs="Times New Roman"/>
                <w:noProof/>
              </w:rPr>
              <w:t>23. Начин на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38</w:t>
            </w:r>
            <w:r w:rsidR="00C507D2" w:rsidRPr="00C507D2">
              <w:rPr>
                <w:rFonts w:ascii="Times New Roman" w:hAnsi="Times New Roman" w:cs="Times New Roman"/>
                <w:noProof/>
                <w:webHidden/>
              </w:rPr>
              <w:fldChar w:fldCharType="end"/>
            </w:r>
          </w:hyperlink>
        </w:p>
        <w:p w14:paraId="46CDE137"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29" w:history="1">
            <w:r w:rsidR="00C507D2" w:rsidRPr="00C507D2">
              <w:rPr>
                <w:rStyle w:val="Hyperlink"/>
                <w:rFonts w:ascii="Times New Roman" w:hAnsi="Times New Roman" w:cs="Times New Roman"/>
                <w:noProof/>
              </w:rPr>
              <w:t>24. Списък на документите, които се подават на етап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40</w:t>
            </w:r>
            <w:r w:rsidR="00C507D2" w:rsidRPr="00C507D2">
              <w:rPr>
                <w:rFonts w:ascii="Times New Roman" w:hAnsi="Times New Roman" w:cs="Times New Roman"/>
                <w:noProof/>
                <w:webHidden/>
              </w:rPr>
              <w:fldChar w:fldCharType="end"/>
            </w:r>
          </w:hyperlink>
        </w:p>
        <w:p w14:paraId="6345DCFC"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0" w:history="1">
            <w:r w:rsidR="00C507D2" w:rsidRPr="00C507D2">
              <w:rPr>
                <w:rStyle w:val="Hyperlink"/>
                <w:rFonts w:ascii="Times New Roman" w:hAnsi="Times New Roman" w:cs="Times New Roman"/>
                <w:noProof/>
              </w:rPr>
              <w:t>24.1. Списък с общи документи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40</w:t>
            </w:r>
            <w:r w:rsidR="00C507D2" w:rsidRPr="00C507D2">
              <w:rPr>
                <w:rFonts w:ascii="Times New Roman" w:hAnsi="Times New Roman" w:cs="Times New Roman"/>
                <w:noProof/>
                <w:webHidden/>
              </w:rPr>
              <w:fldChar w:fldCharType="end"/>
            </w:r>
          </w:hyperlink>
        </w:p>
        <w:p w14:paraId="0A3B9FDE"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1" w:history="1">
            <w:r w:rsidR="00C507D2" w:rsidRPr="00C507D2">
              <w:rPr>
                <w:rStyle w:val="Hyperlink"/>
                <w:rFonts w:ascii="Times New Roman" w:hAnsi="Times New Roman" w:cs="Times New Roman"/>
                <w:noProof/>
              </w:rPr>
              <w:t>24.2. Специфични документи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2C70C5D7"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2" w:history="1">
            <w:r w:rsidR="00C507D2" w:rsidRPr="00C507D2">
              <w:rPr>
                <w:rStyle w:val="Hyperlink"/>
                <w:rFonts w:ascii="Times New Roman" w:hAnsi="Times New Roman" w:cs="Times New Roman"/>
                <w:noProof/>
              </w:rPr>
              <w:t>24.3.  Документи, доказващи съответствие с критериите за подбор на проекти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7D6299CD"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33" w:history="1">
            <w:r w:rsidR="00C507D2" w:rsidRPr="00C507D2">
              <w:rPr>
                <w:rStyle w:val="Hyperlink"/>
                <w:rFonts w:ascii="Times New Roman" w:hAnsi="Times New Roman" w:cs="Times New Roman"/>
                <w:noProof/>
              </w:rPr>
              <w:t>25. Краен срок за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4AB33F5D"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34" w:history="1">
            <w:r w:rsidR="00C507D2" w:rsidRPr="00C507D2">
              <w:rPr>
                <w:rStyle w:val="Hyperlink"/>
                <w:rFonts w:ascii="Times New Roman" w:hAnsi="Times New Roman" w:cs="Times New Roman"/>
                <w:noProof/>
              </w:rPr>
              <w:t>26. Адрес за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45</w:t>
            </w:r>
            <w:r w:rsidR="00C507D2" w:rsidRPr="00C507D2">
              <w:rPr>
                <w:rFonts w:ascii="Times New Roman" w:hAnsi="Times New Roman" w:cs="Times New Roman"/>
                <w:noProof/>
                <w:webHidden/>
              </w:rPr>
              <w:fldChar w:fldCharType="end"/>
            </w:r>
          </w:hyperlink>
        </w:p>
        <w:p w14:paraId="5992B038"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35" w:history="1">
            <w:r w:rsidR="00C507D2" w:rsidRPr="00C507D2">
              <w:rPr>
                <w:rStyle w:val="Hyperlink"/>
                <w:rFonts w:ascii="Times New Roman" w:hAnsi="Times New Roman" w:cs="Times New Roman"/>
                <w:noProof/>
              </w:rPr>
              <w:t>27. Допълнителна информация: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45</w:t>
            </w:r>
            <w:r w:rsidR="00C507D2" w:rsidRPr="00C507D2">
              <w:rPr>
                <w:rFonts w:ascii="Times New Roman" w:hAnsi="Times New Roman" w:cs="Times New Roman"/>
                <w:noProof/>
                <w:webHidden/>
              </w:rPr>
              <w:fldChar w:fldCharType="end"/>
            </w:r>
          </w:hyperlink>
        </w:p>
        <w:p w14:paraId="6B7F4196"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6" w:history="1">
            <w:r w:rsidR="00C507D2" w:rsidRPr="00C507D2">
              <w:rPr>
                <w:rStyle w:val="Hyperlink"/>
                <w:rFonts w:ascii="Times New Roman" w:hAnsi="Times New Roman" w:cs="Times New Roman"/>
                <w:noProof/>
              </w:rPr>
              <w:t>27.1. Допълнителни въпроси и разяснения във връзка с Условията за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46</w:t>
            </w:r>
            <w:r w:rsidR="00C507D2" w:rsidRPr="00C507D2">
              <w:rPr>
                <w:rFonts w:ascii="Times New Roman" w:hAnsi="Times New Roman" w:cs="Times New Roman"/>
                <w:noProof/>
                <w:webHidden/>
              </w:rPr>
              <w:fldChar w:fldCharType="end"/>
            </w:r>
          </w:hyperlink>
        </w:p>
        <w:p w14:paraId="0C041141"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7" w:history="1">
            <w:r w:rsidR="00C507D2" w:rsidRPr="00C507D2">
              <w:rPr>
                <w:rStyle w:val="Hyperlink"/>
                <w:rFonts w:ascii="Times New Roman" w:hAnsi="Times New Roman" w:cs="Times New Roman"/>
                <w:noProof/>
              </w:rPr>
              <w:t>27.2. Уведомяване относно предварителното решение на МИГ</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1316A489" w14:textId="77777777" w:rsidR="00C507D2" w:rsidRPr="00C507D2" w:rsidRDefault="00376288">
          <w:pPr>
            <w:pStyle w:val="TOC2"/>
            <w:rPr>
              <w:rFonts w:ascii="Times New Roman" w:eastAsiaTheme="minorEastAsia" w:hAnsi="Times New Roman" w:cs="Times New Roman"/>
              <w:b w:val="0"/>
              <w:bCs w:val="0"/>
              <w:noProof/>
              <w:lang w:eastAsia="bg-BG"/>
            </w:rPr>
          </w:pPr>
          <w:hyperlink w:anchor="_Toc534292238" w:history="1">
            <w:r w:rsidR="00C507D2" w:rsidRPr="00C507D2">
              <w:rPr>
                <w:rStyle w:val="Hyperlink"/>
                <w:rFonts w:ascii="Times New Roman" w:hAnsi="Times New Roman" w:cs="Times New Roman"/>
                <w:noProof/>
              </w:rPr>
              <w:t>27.3. Процедура за възражения относно оценката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66B2DEE7" w14:textId="77777777" w:rsidR="00C507D2" w:rsidRPr="00C507D2" w:rsidRDefault="00376288">
          <w:pPr>
            <w:pStyle w:val="TOC1"/>
            <w:rPr>
              <w:rFonts w:ascii="Times New Roman" w:eastAsiaTheme="minorEastAsia" w:hAnsi="Times New Roman" w:cs="Times New Roman"/>
              <w:b w:val="0"/>
              <w:bCs w:val="0"/>
              <w:noProof/>
              <w:sz w:val="22"/>
              <w:szCs w:val="22"/>
              <w:lang w:eastAsia="bg-BG"/>
            </w:rPr>
          </w:pPr>
          <w:hyperlink w:anchor="_Toc534292239" w:history="1">
            <w:r w:rsidR="00C507D2" w:rsidRPr="00C507D2">
              <w:rPr>
                <w:rStyle w:val="Hyperlink"/>
                <w:rFonts w:ascii="Times New Roman" w:hAnsi="Times New Roman" w:cs="Times New Roman"/>
                <w:noProof/>
              </w:rPr>
              <w:t>28. Приложения към Условията за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46A23674" w14:textId="77777777" w:rsidR="0035525C" w:rsidRPr="00C507D2" w:rsidRDefault="0035525C">
          <w:pPr>
            <w:rPr>
              <w:rFonts w:ascii="Times New Roman" w:hAnsi="Times New Roman" w:cs="Times New Roman"/>
              <w:sz w:val="24"/>
              <w:szCs w:val="24"/>
            </w:rPr>
          </w:pPr>
          <w:r w:rsidRPr="00C507D2">
            <w:rPr>
              <w:rFonts w:ascii="Times New Roman" w:hAnsi="Times New Roman" w:cs="Times New Roman"/>
              <w:b/>
              <w:bCs/>
              <w:sz w:val="24"/>
              <w:szCs w:val="24"/>
            </w:rPr>
            <w:fldChar w:fldCharType="end"/>
          </w:r>
        </w:p>
      </w:sdtContent>
    </w:sdt>
    <w:p w14:paraId="580FD389" w14:textId="77777777" w:rsidR="00681629" w:rsidRPr="00C507D2" w:rsidRDefault="00681629">
      <w:pPr>
        <w:rPr>
          <w:rFonts w:ascii="Times New Roman" w:hAnsi="Times New Roman" w:cs="Times New Roman"/>
          <w:b/>
          <w:sz w:val="24"/>
          <w:szCs w:val="24"/>
        </w:rPr>
      </w:pPr>
    </w:p>
    <w:p w14:paraId="72330EFA" w14:textId="77777777" w:rsidR="007F5391" w:rsidRPr="002F65FC" w:rsidRDefault="007F5391">
      <w:pPr>
        <w:rPr>
          <w:rFonts w:ascii="Times New Roman" w:hAnsi="Times New Roman" w:cs="Times New Roman"/>
          <w:b/>
          <w:sz w:val="24"/>
          <w:szCs w:val="24"/>
        </w:rPr>
      </w:pPr>
    </w:p>
    <w:p w14:paraId="1BD26B8B" w14:textId="77777777" w:rsidR="00F83E7C" w:rsidRDefault="007F5391" w:rsidP="00355CDE">
      <w:pPr>
        <w:pStyle w:val="Guidelines1"/>
      </w:pPr>
      <w:r w:rsidRPr="007713C1">
        <w:lastRenderedPageBreak/>
        <w:t>ОБЯСНИТЕЛНИ БЕЛЕЖКИ</w:t>
      </w:r>
    </w:p>
    <w:tbl>
      <w:tblPr>
        <w:tblStyle w:val="1"/>
        <w:tblW w:w="0" w:type="auto"/>
        <w:tblLook w:val="04A0" w:firstRow="1" w:lastRow="0" w:firstColumn="1" w:lastColumn="0" w:noHBand="0" w:noVBand="1"/>
      </w:tblPr>
      <w:tblGrid>
        <w:gridCol w:w="2235"/>
        <w:gridCol w:w="6977"/>
      </w:tblGrid>
      <w:tr w:rsidR="00F83E7C" w:rsidRPr="00AC0FA4" w14:paraId="129654EC" w14:textId="77777777" w:rsidTr="00A634FD">
        <w:tc>
          <w:tcPr>
            <w:tcW w:w="2235" w:type="dxa"/>
          </w:tcPr>
          <w:p w14:paraId="7274791A"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14:paraId="7956D0D4" w14:textId="77777777" w:rsidR="00F83E7C" w:rsidRPr="00AC0FA4" w:rsidRDefault="00F83E7C" w:rsidP="00A634FD">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F83E7C" w:rsidRPr="00AC0FA4" w14:paraId="63EDCEC6" w14:textId="77777777" w:rsidTr="00A634FD">
        <w:tc>
          <w:tcPr>
            <w:tcW w:w="2235" w:type="dxa"/>
          </w:tcPr>
          <w:p w14:paraId="2C44979C"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14:paraId="5E790626" w14:textId="77777777" w:rsidR="00F83E7C" w:rsidRPr="00AC0FA4" w:rsidRDefault="00F83E7C" w:rsidP="00A634FD">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F83E7C" w:rsidRPr="00AC0FA4" w14:paraId="63EA1D00" w14:textId="77777777" w:rsidTr="00A634FD">
        <w:tc>
          <w:tcPr>
            <w:tcW w:w="2235" w:type="dxa"/>
          </w:tcPr>
          <w:p w14:paraId="35225C25"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14:paraId="0235C599" w14:textId="77777777" w:rsidR="00F83E7C" w:rsidRPr="00AC0FA4" w:rsidRDefault="00F83E7C" w:rsidP="00A634FD">
            <w:pPr>
              <w:jc w:val="both"/>
              <w:rPr>
                <w:rFonts w:ascii="Times New Roman" w:hAnsi="Times New Roman" w:cs="Times New Roman"/>
              </w:rPr>
            </w:pPr>
            <w:r>
              <w:rPr>
                <w:rFonts w:ascii="Times New Roman" w:hAnsi="Times New Roman" w:cs="Times New Roman"/>
              </w:rPr>
              <w:t>П</w:t>
            </w:r>
            <w:r w:rsidRPr="00AC0FA4">
              <w:rPr>
                <w:rFonts w:ascii="Times New Roman" w:hAnsi="Times New Roman" w:cs="Times New Roman"/>
              </w:rPr>
              <w:t xml:space="preserve">роверки съгласно условията и разпоредбите на </w:t>
            </w:r>
            <w:hyperlink r:id="rId10" w:history="1">
              <w:r w:rsidRPr="00AC0FA4">
                <w:rPr>
                  <w:rFonts w:ascii="Times New Roman" w:hAnsi="Times New Roman" w:cs="Times New Roman"/>
                  <w:color w:val="000000"/>
                </w:rPr>
                <w:t>чл. 48 от Регламент за изпълнение (ЕС) № 809/2014</w:t>
              </w:r>
              <w:r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Pr="00AC0FA4">
                  <w:rPr>
                    <w:rFonts w:ascii="Times New Roman" w:hAnsi="Times New Roman" w:cs="Times New Roman"/>
                    <w:color w:val="000000"/>
                  </w:rPr>
                  <w:t>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AC0FA4">
                <w:rPr>
                  <w:rFonts w:ascii="Times New Roman" w:hAnsi="Times New Roman" w:cs="Times New Roman"/>
                  <w:color w:val="000000"/>
                </w:rPr>
                <w:t>.</w:t>
              </w:r>
            </w:hyperlink>
          </w:p>
        </w:tc>
      </w:tr>
      <w:tr w:rsidR="00F83E7C" w:rsidRPr="00AC0FA4" w14:paraId="5E2B6E5A" w14:textId="77777777" w:rsidTr="00A634FD">
        <w:tc>
          <w:tcPr>
            <w:tcW w:w="2235" w:type="dxa"/>
          </w:tcPr>
          <w:p w14:paraId="10D028D7" w14:textId="4B7D3FD0"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Бенефициент (Бенефициер) на безвъзмездна финансова помощ</w:t>
            </w:r>
          </w:p>
        </w:tc>
        <w:tc>
          <w:tcPr>
            <w:tcW w:w="6977" w:type="dxa"/>
          </w:tcPr>
          <w:p w14:paraId="1CBB72AF" w14:textId="1F05F272" w:rsidR="00F83E7C" w:rsidRDefault="00F83E7C" w:rsidP="00F83E7C">
            <w:pPr>
              <w:jc w:val="both"/>
              <w:rPr>
                <w:rFonts w:ascii="Times New Roman" w:hAnsi="Times New Roman" w:cs="Times New Roman"/>
              </w:rPr>
            </w:pPr>
            <w:r w:rsidRPr="007713C1">
              <w:rPr>
                <w:rFonts w:ascii="Times New Roman" w:hAnsi="Times New Roman"/>
              </w:rPr>
              <w:t>Лицата, посочени в чл.2, ал. 10 от Регламент (ЕО) No</w:t>
            </w:r>
            <w:r w:rsidRPr="00FD78FC">
              <w:rPr>
                <w:rFonts w:ascii="Times New Roman" w:hAnsi="Times New Roman"/>
              </w:rPr>
              <w:t xml:space="preserve"> </w:t>
            </w:r>
            <w:r w:rsidRPr="007713C1">
              <w:rPr>
                <w:rFonts w:ascii="Times New Roman" w:hAnsi="Times New Roman"/>
              </w:rPr>
              <w:t xml:space="preserve">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F83E7C" w:rsidRPr="00AC0FA4" w14:paraId="120C84B3" w14:textId="77777777" w:rsidTr="00A634FD">
        <w:tc>
          <w:tcPr>
            <w:tcW w:w="2235" w:type="dxa"/>
          </w:tcPr>
          <w:p w14:paraId="7121E27B" w14:textId="4232B7C3"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Безвъзмездна финансова помощ</w:t>
            </w:r>
          </w:p>
        </w:tc>
        <w:tc>
          <w:tcPr>
            <w:tcW w:w="6977" w:type="dxa"/>
          </w:tcPr>
          <w:p w14:paraId="3BFA72A2" w14:textId="2EC07E18" w:rsidR="00F83E7C" w:rsidRDefault="00F83E7C" w:rsidP="00F83E7C">
            <w:pPr>
              <w:jc w:val="both"/>
              <w:rPr>
                <w:rFonts w:ascii="Times New Roman" w:hAnsi="Times New Roman" w:cs="Times New Roman"/>
              </w:rPr>
            </w:pPr>
            <w:r w:rsidRPr="007713C1">
              <w:rPr>
                <w:rFonts w:ascii="Times New Roman" w:hAnsi="Times New Roman" w:cs="Times New Roman"/>
              </w:rPr>
              <w:t>Без това да противоречи на чл. 121 от Регламент (EO, Евроатом)</w:t>
            </w:r>
            <w:r w:rsidRPr="00FD78FC">
              <w:rPr>
                <w:rFonts w:ascii="Times New Roman" w:hAnsi="Times New Roman" w:cs="Times New Roman"/>
              </w:rPr>
              <w:t xml:space="preserve"> </w:t>
            </w:r>
            <w:r w:rsidRPr="007713C1">
              <w:rPr>
                <w:rFonts w:ascii="Times New Roman" w:hAnsi="Times New Roman" w:cs="Times New Roman"/>
              </w:rPr>
              <w:t>No</w:t>
            </w:r>
            <w:r w:rsidRPr="00FD78FC">
              <w:rPr>
                <w:rFonts w:ascii="Times New Roman" w:hAnsi="Times New Roman" w:cs="Times New Roman"/>
              </w:rPr>
              <w:t xml:space="preserve"> 966/2012, </w:t>
            </w:r>
            <w:r w:rsidRPr="007713C1">
              <w:rPr>
                <w:rFonts w:ascii="Times New Roman" w:hAnsi="Times New Roman" w:cs="Times New Roman"/>
              </w:rPr>
              <w:t xml:space="preserve">са средства, предоставени от </w:t>
            </w:r>
            <w:r>
              <w:rPr>
                <w:rFonts w:ascii="Times New Roman" w:hAnsi="Times New Roman" w:cs="Times New Roman"/>
              </w:rPr>
              <w:t>ПРСР</w:t>
            </w:r>
            <w:r w:rsidRPr="007713C1">
              <w:rPr>
                <w:rFonts w:ascii="Times New Roman" w:hAnsi="Times New Roman" w:cs="Times New Roman"/>
                <w:noProof/>
              </w:rPr>
              <w:t>, включително съответното национално съфинансиране, с цел изпълнението на одобрен проект, насочен към постигане на определени цели.</w:t>
            </w:r>
          </w:p>
        </w:tc>
      </w:tr>
      <w:tr w:rsidR="00F83E7C" w:rsidRPr="00AC0FA4" w14:paraId="1BE75D37" w14:textId="77777777" w:rsidTr="00A634FD">
        <w:tc>
          <w:tcPr>
            <w:tcW w:w="2235" w:type="dxa"/>
          </w:tcPr>
          <w:p w14:paraId="27677F7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14:paraId="4891C961"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F83E7C" w:rsidRPr="00AC0FA4" w14:paraId="26B85F06" w14:textId="77777777" w:rsidTr="00A634FD">
        <w:tc>
          <w:tcPr>
            <w:tcW w:w="2235" w:type="dxa"/>
          </w:tcPr>
          <w:p w14:paraId="0AE1CE80" w14:textId="7D11BDDC" w:rsidR="00F83E7C" w:rsidRPr="00AC0FA4" w:rsidRDefault="00F83E7C" w:rsidP="00F83E7C">
            <w:pPr>
              <w:jc w:val="both"/>
              <w:rPr>
                <w:rFonts w:ascii="Times New Roman" w:hAnsi="Times New Roman" w:cs="Times New Roman"/>
                <w:b/>
                <w:color w:val="000000"/>
              </w:rPr>
            </w:pPr>
            <w:r w:rsidRPr="00F31C31">
              <w:rPr>
                <w:rFonts w:ascii="Times New Roman" w:hAnsi="Times New Roman" w:cs="Times New Roman"/>
                <w:b/>
              </w:rPr>
              <w:t>Държавна помощ</w:t>
            </w:r>
          </w:p>
        </w:tc>
        <w:tc>
          <w:tcPr>
            <w:tcW w:w="6977" w:type="dxa"/>
          </w:tcPr>
          <w:p w14:paraId="13BBCD1C" w14:textId="2CADADB7" w:rsidR="00F83E7C" w:rsidRPr="00AC0FA4" w:rsidRDefault="00F83E7C" w:rsidP="00F83E7C">
            <w:pPr>
              <w:jc w:val="both"/>
              <w:rPr>
                <w:rFonts w:ascii="Times New Roman" w:hAnsi="Times New Roman" w:cs="Times New Roman"/>
              </w:rPr>
            </w:pPr>
            <w:r w:rsidRPr="00F31C31">
              <w:rPr>
                <w:rFonts w:ascii="Times New Roman" w:hAnsi="Times New Roman" w:cs="Times New Roman"/>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tc>
      </w:tr>
      <w:tr w:rsidR="00F83E7C" w:rsidRPr="00AC0FA4" w14:paraId="7A12732A" w14:textId="77777777" w:rsidTr="00A634FD">
        <w:tc>
          <w:tcPr>
            <w:tcW w:w="2235" w:type="dxa"/>
          </w:tcPr>
          <w:p w14:paraId="512C8245" w14:textId="1DEE04A6" w:rsidR="00F83E7C" w:rsidRPr="00AC0FA4" w:rsidRDefault="00F83E7C" w:rsidP="00F83E7C">
            <w:pPr>
              <w:jc w:val="both"/>
              <w:rPr>
                <w:rFonts w:ascii="Times New Roman" w:hAnsi="Times New Roman" w:cs="Times New Roman"/>
                <w:b/>
                <w:color w:val="000000"/>
              </w:rPr>
            </w:pPr>
            <w:r w:rsidRPr="00F31C31">
              <w:rPr>
                <w:rFonts w:ascii="Times New Roman" w:hAnsi="Times New Roman" w:cs="Times New Roman"/>
                <w:b/>
              </w:rPr>
              <w:t>Минимална помощ (de minimis)</w:t>
            </w:r>
          </w:p>
        </w:tc>
        <w:tc>
          <w:tcPr>
            <w:tcW w:w="6977" w:type="dxa"/>
          </w:tcPr>
          <w:p w14:paraId="338E6DAE" w14:textId="4F350C80" w:rsidR="00F83E7C" w:rsidRPr="00AC0FA4" w:rsidRDefault="00F83E7C" w:rsidP="00F83E7C">
            <w:pPr>
              <w:jc w:val="both"/>
              <w:rPr>
                <w:rFonts w:ascii="Times New Roman" w:hAnsi="Times New Roman" w:cs="Times New Roman"/>
              </w:rPr>
            </w:pPr>
            <w:r w:rsidRPr="00F31C31">
              <w:rPr>
                <w:rFonts w:ascii="Times New Roman" w:hAnsi="Times New Roman" w:cs="Times New Roman"/>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w:t>
            </w:r>
            <w:r w:rsidRPr="00F31C31">
              <w:rPr>
                <w:rFonts w:ascii="Times New Roman" w:hAnsi="Times New Roman" w:cs="Times New Roman"/>
              </w:rPr>
              <w:lastRenderedPageBreak/>
              <w:t>на чл. 107 и 108 от Договора за функционирането на ЕС по отношение на минималната помощ.</w:t>
            </w:r>
          </w:p>
        </w:tc>
      </w:tr>
      <w:tr w:rsidR="00F83E7C" w:rsidRPr="00AC0FA4" w14:paraId="05447698" w14:textId="77777777" w:rsidTr="00A634FD">
        <w:tc>
          <w:tcPr>
            <w:tcW w:w="2235" w:type="dxa"/>
          </w:tcPr>
          <w:p w14:paraId="15EFCBB1" w14:textId="77777777" w:rsidR="00F83E7C" w:rsidRPr="00AC0FA4" w:rsidRDefault="00F83E7C" w:rsidP="00F83E7C">
            <w:pPr>
              <w:jc w:val="both"/>
              <w:rPr>
                <w:rFonts w:ascii="Times New Roman" w:hAnsi="Times New Roman" w:cs="Times New Roman"/>
                <w:b/>
                <w:color w:val="000000"/>
              </w:rPr>
            </w:pPr>
            <w:r>
              <w:rPr>
                <w:rFonts w:ascii="Times New Roman" w:hAnsi="Times New Roman" w:cs="Times New Roman"/>
                <w:b/>
                <w:color w:val="000000"/>
              </w:rPr>
              <w:lastRenderedPageBreak/>
              <w:t>Закрита спортна инфраструктура в общинска образователна инфраструктура</w:t>
            </w:r>
          </w:p>
        </w:tc>
        <w:tc>
          <w:tcPr>
            <w:tcW w:w="6977" w:type="dxa"/>
          </w:tcPr>
          <w:p w14:paraId="2B660E6F" w14:textId="77777777" w:rsidR="00F83E7C" w:rsidRPr="00AC0FA4" w:rsidRDefault="00F83E7C" w:rsidP="00F83E7C">
            <w:pPr>
              <w:jc w:val="both"/>
              <w:rPr>
                <w:rFonts w:ascii="Times New Roman" w:hAnsi="Times New Roman" w:cs="Times New Roman"/>
              </w:rPr>
            </w:pPr>
            <w:r>
              <w:rPr>
                <w:rFonts w:ascii="Times New Roman" w:hAnsi="Times New Roman" w:cs="Times New Roman"/>
              </w:rPr>
              <w:t xml:space="preserve">Закрита спортна инфраструктура е зала за спорт (физкултурен салон). </w:t>
            </w:r>
          </w:p>
        </w:tc>
      </w:tr>
      <w:tr w:rsidR="00F83E7C" w:rsidRPr="00AC0FA4" w14:paraId="359F9BCE" w14:textId="77777777" w:rsidTr="00A634FD">
        <w:tc>
          <w:tcPr>
            <w:tcW w:w="2235" w:type="dxa"/>
          </w:tcPr>
          <w:p w14:paraId="2E86568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14:paraId="72B21A1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Всяко установено от </w:t>
            </w:r>
            <w:r>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F83E7C" w:rsidRPr="00AC0FA4" w14:paraId="60453581" w14:textId="77777777" w:rsidTr="00A634FD">
        <w:tc>
          <w:tcPr>
            <w:tcW w:w="2235" w:type="dxa"/>
          </w:tcPr>
          <w:p w14:paraId="4728F132"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14:paraId="08B9F052"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F83E7C" w:rsidRPr="00AC0FA4" w14:paraId="2CBAB43C" w14:textId="77777777" w:rsidTr="00A634FD">
        <w:tc>
          <w:tcPr>
            <w:tcW w:w="2235" w:type="dxa"/>
          </w:tcPr>
          <w:p w14:paraId="5A228D2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14:paraId="7A8DCB3C"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F83E7C" w:rsidRPr="00AC0FA4" w14:paraId="06F67B3A" w14:textId="77777777" w:rsidTr="00A634FD">
        <w:tc>
          <w:tcPr>
            <w:tcW w:w="2235" w:type="dxa"/>
          </w:tcPr>
          <w:p w14:paraId="11A129F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14:paraId="6ED34C68"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14:paraId="3B2718A9"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14:paraId="65E9CE01"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14:paraId="5590E88F"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14:paraId="33369AE1"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0E076EA"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14:paraId="4E3ECC4B"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14:paraId="5A30388E" w14:textId="77777777" w:rsidR="00F83E7C" w:rsidRPr="00AC0FA4" w:rsidRDefault="00F83E7C" w:rsidP="00F83E7C">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F83E7C" w:rsidRPr="00AC0FA4" w14:paraId="07D94799" w14:textId="77777777" w:rsidTr="00A634FD">
        <w:tc>
          <w:tcPr>
            <w:tcW w:w="2235" w:type="dxa"/>
          </w:tcPr>
          <w:p w14:paraId="38E2192B"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14:paraId="54EC49D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Pr>
                <w:rFonts w:ascii="Times New Roman" w:hAnsi="Times New Roman" w:cs="Times New Roman"/>
              </w:rPr>
              <w:t>са</w:t>
            </w:r>
            <w:r w:rsidRPr="00AC0FA4">
              <w:rPr>
                <w:rFonts w:ascii="Times New Roman" w:hAnsi="Times New Roman" w:cs="Times New Roman"/>
              </w:rPr>
              <w:t xml:space="preserve"> могл</w:t>
            </w:r>
            <w:r>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F83E7C" w:rsidRPr="00AC0FA4" w14:paraId="1820779A" w14:textId="77777777" w:rsidTr="00A634FD">
        <w:tc>
          <w:tcPr>
            <w:tcW w:w="2235" w:type="dxa"/>
          </w:tcPr>
          <w:p w14:paraId="359C7C8B"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14:paraId="4F62B0AB"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F83E7C" w:rsidRPr="00AC0FA4" w14:paraId="579A824F" w14:textId="77777777" w:rsidTr="00A634FD">
        <w:tc>
          <w:tcPr>
            <w:tcW w:w="2235" w:type="dxa"/>
          </w:tcPr>
          <w:p w14:paraId="3098FC81"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Нередност</w:t>
            </w:r>
          </w:p>
        </w:tc>
        <w:tc>
          <w:tcPr>
            <w:tcW w:w="6977" w:type="dxa"/>
          </w:tcPr>
          <w:p w14:paraId="781BA51F"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F83E7C" w:rsidRPr="00AC0FA4" w14:paraId="4F30B129" w14:textId="77777777" w:rsidTr="00A634FD">
        <w:tc>
          <w:tcPr>
            <w:tcW w:w="2235" w:type="dxa"/>
          </w:tcPr>
          <w:p w14:paraId="6123FBBA" w14:textId="77777777" w:rsidR="00F83E7C"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Оперативни разходи</w:t>
            </w:r>
          </w:p>
          <w:p w14:paraId="5D85E7D7" w14:textId="77777777" w:rsidR="009C4C6D" w:rsidRPr="00AC0FA4" w:rsidRDefault="009C4C6D" w:rsidP="00F83E7C">
            <w:pPr>
              <w:jc w:val="both"/>
              <w:rPr>
                <w:rFonts w:ascii="Times New Roman" w:hAnsi="Times New Roman" w:cs="Times New Roman"/>
                <w:b/>
              </w:rPr>
            </w:pPr>
          </w:p>
        </w:tc>
        <w:tc>
          <w:tcPr>
            <w:tcW w:w="6977" w:type="dxa"/>
          </w:tcPr>
          <w:p w14:paraId="751C067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F83E7C" w:rsidRPr="00AC0FA4" w14:paraId="7E447005" w14:textId="77777777" w:rsidTr="00A634FD">
        <w:tc>
          <w:tcPr>
            <w:tcW w:w="2235" w:type="dxa"/>
          </w:tcPr>
          <w:p w14:paraId="1A095913" w14:textId="77777777" w:rsidR="00F83E7C" w:rsidRPr="00AC0FA4" w:rsidRDefault="00F83E7C" w:rsidP="00F83E7C">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14:paraId="73AAE5F2"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Детск</w:t>
            </w:r>
            <w:r>
              <w:rPr>
                <w:rFonts w:ascii="Times New Roman" w:hAnsi="Times New Roman" w:cs="Times New Roman"/>
              </w:rPr>
              <w:t>а</w:t>
            </w:r>
            <w:r w:rsidRPr="00AC0FA4">
              <w:rPr>
                <w:rFonts w:ascii="Times New Roman" w:hAnsi="Times New Roman" w:cs="Times New Roman"/>
              </w:rPr>
              <w:t xml:space="preserve"> градин</w:t>
            </w:r>
            <w:r>
              <w:rPr>
                <w:rFonts w:ascii="Times New Roman" w:hAnsi="Times New Roman" w:cs="Times New Roman"/>
              </w:rPr>
              <w:t>а</w:t>
            </w:r>
            <w:r w:rsidRPr="00AC0FA4">
              <w:rPr>
                <w:rFonts w:ascii="Times New Roman" w:hAnsi="Times New Roman" w:cs="Times New Roman"/>
              </w:rPr>
              <w:t>, финансиран</w:t>
            </w:r>
            <w:r>
              <w:rPr>
                <w:rFonts w:ascii="Times New Roman" w:hAnsi="Times New Roman" w:cs="Times New Roman"/>
              </w:rPr>
              <w:t>а</w:t>
            </w:r>
            <w:r w:rsidRPr="00AC0FA4">
              <w:rPr>
                <w:rFonts w:ascii="Times New Roman" w:hAnsi="Times New Roman" w:cs="Times New Roman"/>
              </w:rPr>
              <w:t xml:space="preserve"> чрез бюджета на общин</w:t>
            </w:r>
            <w:r>
              <w:rPr>
                <w:rFonts w:ascii="Times New Roman" w:hAnsi="Times New Roman" w:cs="Times New Roman"/>
              </w:rPr>
              <w:t>ата</w:t>
            </w:r>
            <w:r w:rsidRPr="00AC0FA4">
              <w:rPr>
                <w:rFonts w:ascii="Times New Roman" w:hAnsi="Times New Roman" w:cs="Times New Roman"/>
              </w:rPr>
              <w:t>, или основн</w:t>
            </w:r>
            <w:r>
              <w:rPr>
                <w:rFonts w:ascii="Times New Roman" w:hAnsi="Times New Roman" w:cs="Times New Roman"/>
              </w:rPr>
              <w:t>о</w:t>
            </w:r>
            <w:r w:rsidRPr="00AC0FA4">
              <w:rPr>
                <w:rFonts w:ascii="Times New Roman" w:hAnsi="Times New Roman" w:cs="Times New Roman"/>
              </w:rPr>
              <w:t xml:space="preserve"> или средн</w:t>
            </w:r>
            <w:r>
              <w:rPr>
                <w:rFonts w:ascii="Times New Roman" w:hAnsi="Times New Roman" w:cs="Times New Roman"/>
              </w:rPr>
              <w:t>о</w:t>
            </w:r>
            <w:r w:rsidRPr="00AC0FA4">
              <w:rPr>
                <w:rFonts w:ascii="Times New Roman" w:hAnsi="Times New Roman" w:cs="Times New Roman"/>
              </w:rPr>
              <w:t xml:space="preserve"> училищ</w:t>
            </w:r>
            <w:r>
              <w:rPr>
                <w:rFonts w:ascii="Times New Roman" w:hAnsi="Times New Roman" w:cs="Times New Roman"/>
              </w:rPr>
              <w:t>е</w:t>
            </w:r>
            <w:r w:rsidRPr="00AC0FA4">
              <w:rPr>
                <w:rFonts w:ascii="Times New Roman" w:hAnsi="Times New Roman" w:cs="Times New Roman"/>
              </w:rPr>
              <w:t>, финансирани чрез бюджета на общин</w:t>
            </w:r>
            <w:r>
              <w:rPr>
                <w:rFonts w:ascii="Times New Roman" w:hAnsi="Times New Roman" w:cs="Times New Roman"/>
              </w:rPr>
              <w:t>ата</w:t>
            </w:r>
            <w:r w:rsidRPr="00AC0FA4">
              <w:rPr>
                <w:rFonts w:ascii="Times New Roman" w:hAnsi="Times New Roman" w:cs="Times New Roman"/>
              </w:rPr>
              <w:t xml:space="preserve"> или професионални гимназии по § 10 от Преходните и заключителни разпоредби на Закона за предучилищното и училищно образование.</w:t>
            </w:r>
          </w:p>
        </w:tc>
      </w:tr>
      <w:tr w:rsidR="00F83E7C" w:rsidRPr="00AC0FA4" w14:paraId="46C0F129" w14:textId="77777777" w:rsidTr="00A634FD">
        <w:tc>
          <w:tcPr>
            <w:tcW w:w="2235" w:type="dxa"/>
          </w:tcPr>
          <w:p w14:paraId="228A5A71"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14:paraId="30BC66CF"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83E7C" w:rsidRPr="00AC0FA4" w14:paraId="7DC4E7F2" w14:textId="77777777" w:rsidTr="00A634FD">
        <w:tc>
          <w:tcPr>
            <w:tcW w:w="2235" w:type="dxa"/>
          </w:tcPr>
          <w:p w14:paraId="72F0833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14:paraId="0FE5CBB7"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F83E7C" w:rsidRPr="00AC0FA4" w14:paraId="64EF5675" w14:textId="77777777" w:rsidTr="00A634FD">
        <w:tc>
          <w:tcPr>
            <w:tcW w:w="2235" w:type="dxa"/>
          </w:tcPr>
          <w:p w14:paraId="06031F29"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Обществени услуги</w:t>
            </w:r>
          </w:p>
        </w:tc>
        <w:tc>
          <w:tcPr>
            <w:tcW w:w="6977" w:type="dxa"/>
          </w:tcPr>
          <w:p w14:paraId="40CF1F44"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F83E7C" w:rsidRPr="00AC0FA4" w14:paraId="39789F72" w14:textId="77777777" w:rsidTr="00A634FD">
        <w:tc>
          <w:tcPr>
            <w:tcW w:w="2235" w:type="dxa"/>
          </w:tcPr>
          <w:p w14:paraId="4CD4AFC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Общински сгради</w:t>
            </w:r>
          </w:p>
        </w:tc>
        <w:tc>
          <w:tcPr>
            <w:tcW w:w="6977" w:type="dxa"/>
          </w:tcPr>
          <w:p w14:paraId="16684701" w14:textId="77777777" w:rsidR="00F83E7C" w:rsidRPr="00AC0FA4" w:rsidRDefault="00F83E7C" w:rsidP="00F83E7C">
            <w:pPr>
              <w:rPr>
                <w:rFonts w:ascii="Times New Roman" w:hAnsi="Times New Roman" w:cs="Times New Roman"/>
              </w:rPr>
            </w:pPr>
            <w:r w:rsidRPr="00AC0FA4">
              <w:rPr>
                <w:rFonts w:ascii="Times New Roman" w:hAnsi="Times New Roman" w:cs="Times New Roman"/>
              </w:rPr>
              <w:t xml:space="preserve">Имотите съгласно </w:t>
            </w:r>
            <w:hyperlink r:id="rId19" w:history="1">
              <w:r w:rsidRPr="00AC0FA4">
                <w:rPr>
                  <w:rFonts w:ascii="Times New Roman" w:hAnsi="Times New Roman" w:cs="Times New Roman"/>
                  <w:color w:val="000000"/>
                </w:rPr>
                <w:t>чл. 2, ал. 1 от Закона за общинската собственост</w:t>
              </w:r>
            </w:hyperlink>
            <w:r w:rsidRPr="00AC0FA4">
              <w:rPr>
                <w:rFonts w:ascii="Times New Roman" w:hAnsi="Times New Roman" w:cs="Times New Roman"/>
              </w:rPr>
              <w:t>.</w:t>
            </w:r>
          </w:p>
        </w:tc>
      </w:tr>
      <w:tr w:rsidR="00F83E7C" w:rsidRPr="00AC0FA4" w14:paraId="3A0EDD33" w14:textId="77777777" w:rsidTr="00A634FD">
        <w:tc>
          <w:tcPr>
            <w:tcW w:w="2235" w:type="dxa"/>
          </w:tcPr>
          <w:p w14:paraId="6389A71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14:paraId="32DBEC8E"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F83E7C" w:rsidRPr="00AC0FA4" w14:paraId="2866C61F" w14:textId="77777777" w:rsidTr="00A634FD">
        <w:tc>
          <w:tcPr>
            <w:tcW w:w="2235" w:type="dxa"/>
          </w:tcPr>
          <w:p w14:paraId="6748D0A8"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Площи за широко обществено ползване</w:t>
            </w:r>
          </w:p>
        </w:tc>
        <w:tc>
          <w:tcPr>
            <w:tcW w:w="6977" w:type="dxa"/>
          </w:tcPr>
          <w:p w14:paraId="6F79A2C8"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Паркове, градини, улично озеленяване и площади.</w:t>
            </w:r>
          </w:p>
        </w:tc>
      </w:tr>
      <w:tr w:rsidR="00F83E7C" w:rsidRPr="00AC0FA4" w14:paraId="4DD86151" w14:textId="77777777" w:rsidTr="00A634FD">
        <w:tc>
          <w:tcPr>
            <w:tcW w:w="2235" w:type="dxa"/>
          </w:tcPr>
          <w:p w14:paraId="09CB69A8" w14:textId="77777777" w:rsidR="00F83E7C" w:rsidRPr="00AC0FA4" w:rsidRDefault="00F83E7C" w:rsidP="00F83E7C">
            <w:pPr>
              <w:jc w:val="both"/>
              <w:rPr>
                <w:rFonts w:ascii="Times New Roman" w:hAnsi="Times New Roman" w:cs="Times New Roman"/>
                <w:b/>
              </w:rPr>
            </w:pPr>
            <w:r w:rsidRPr="00CE6FF2">
              <w:rPr>
                <w:rFonts w:ascii="Times New Roman" w:hAnsi="Times New Roman" w:cs="Times New Roman"/>
                <w:b/>
                <w:color w:val="000000"/>
              </w:rPr>
              <w:t>Площадка за игра</w:t>
            </w:r>
          </w:p>
        </w:tc>
        <w:tc>
          <w:tcPr>
            <w:tcW w:w="6977" w:type="dxa"/>
          </w:tcPr>
          <w:p w14:paraId="5BA11611"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F83E7C" w:rsidRPr="00AC0FA4" w14:paraId="121B0862" w14:textId="77777777" w:rsidTr="00A634FD">
        <w:tc>
          <w:tcPr>
            <w:tcW w:w="2235" w:type="dxa"/>
          </w:tcPr>
          <w:p w14:paraId="011A43C9"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14:paraId="67A723F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F83E7C" w:rsidRPr="00AC0FA4" w14:paraId="56765059" w14:textId="77777777" w:rsidTr="00A634FD">
        <w:tc>
          <w:tcPr>
            <w:tcW w:w="2235" w:type="dxa"/>
          </w:tcPr>
          <w:p w14:paraId="321D542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14:paraId="2A31E04A"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20"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F83E7C" w:rsidRPr="00AC0FA4" w14:paraId="198AC634" w14:textId="77777777" w:rsidTr="00A634FD">
        <w:tc>
          <w:tcPr>
            <w:tcW w:w="2235" w:type="dxa"/>
          </w:tcPr>
          <w:p w14:paraId="13F53B8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Проект</w:t>
            </w:r>
          </w:p>
        </w:tc>
        <w:tc>
          <w:tcPr>
            <w:tcW w:w="6977" w:type="dxa"/>
          </w:tcPr>
          <w:p w14:paraId="41F971AD"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tc>
      </w:tr>
      <w:tr w:rsidR="00F83E7C" w:rsidRPr="00AC0FA4" w14:paraId="514A66FE" w14:textId="77777777" w:rsidTr="00A634FD">
        <w:tc>
          <w:tcPr>
            <w:tcW w:w="2235" w:type="dxa"/>
          </w:tcPr>
          <w:p w14:paraId="41FE6891" w14:textId="247FA94A"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 xml:space="preserve">Проектно предложение </w:t>
            </w:r>
          </w:p>
        </w:tc>
        <w:tc>
          <w:tcPr>
            <w:tcW w:w="6977" w:type="dxa"/>
          </w:tcPr>
          <w:p w14:paraId="57FE492F" w14:textId="508E3A13" w:rsidR="00F83E7C" w:rsidRPr="00AC0FA4" w:rsidRDefault="00F83E7C" w:rsidP="00F83E7C">
            <w:pPr>
              <w:jc w:val="both"/>
              <w:rPr>
                <w:rFonts w:ascii="Times New Roman" w:hAnsi="Times New Roman" w:cs="Times New Roman"/>
              </w:rPr>
            </w:pPr>
            <w:r w:rsidRPr="007713C1">
              <w:rPr>
                <w:rFonts w:ascii="Times New Roman" w:hAnsi="Times New Roman" w:cs="Times New Roman"/>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F83E7C" w:rsidRPr="00AC0FA4" w14:paraId="33AC799E" w14:textId="77777777" w:rsidTr="00A634FD">
        <w:tc>
          <w:tcPr>
            <w:tcW w:w="2235" w:type="dxa"/>
          </w:tcPr>
          <w:p w14:paraId="7BE26FE2"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Публична финансова помощ</w:t>
            </w:r>
          </w:p>
        </w:tc>
        <w:tc>
          <w:tcPr>
            <w:tcW w:w="6977" w:type="dxa"/>
          </w:tcPr>
          <w:p w14:paraId="38EB3DBE"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F83E7C" w:rsidRPr="00AC0FA4" w14:paraId="2985E8E9" w14:textId="77777777" w:rsidTr="00A634FD">
        <w:tc>
          <w:tcPr>
            <w:tcW w:w="2235" w:type="dxa"/>
          </w:tcPr>
          <w:p w14:paraId="7AC262D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14:paraId="0E568DAD"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F83E7C" w:rsidRPr="00AC0FA4" w14:paraId="68FD7C65" w14:textId="77777777" w:rsidTr="00A634FD">
        <w:tc>
          <w:tcPr>
            <w:tcW w:w="2235" w:type="dxa"/>
          </w:tcPr>
          <w:p w14:paraId="1144FBED" w14:textId="77777777" w:rsidR="00F83E7C" w:rsidRPr="00CE6FF2" w:rsidRDefault="00F83E7C" w:rsidP="00F83E7C">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14:paraId="1E817F4D" w14:textId="77777777" w:rsidR="00F83E7C" w:rsidRPr="00CE6FF2" w:rsidRDefault="00F83E7C" w:rsidP="00F83E7C">
            <w:pPr>
              <w:jc w:val="both"/>
              <w:rPr>
                <w:rFonts w:ascii="Times New Roman" w:hAnsi="Times New Roman" w:cs="Times New Roman"/>
              </w:rPr>
            </w:pPr>
            <w:r w:rsidRPr="00CE6FF2">
              <w:rPr>
                <w:rFonts w:ascii="Times New Roman" w:hAnsi="Times New Roman" w:cs="Times New Roman"/>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83E7C" w:rsidRPr="00AC0FA4" w14:paraId="0773D17B" w14:textId="77777777" w:rsidTr="00A634FD">
        <w:tc>
          <w:tcPr>
            <w:tcW w:w="2235" w:type="dxa"/>
          </w:tcPr>
          <w:p w14:paraId="5F9A1D3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Реф</w:t>
            </w:r>
            <w:r>
              <w:rPr>
                <w:rFonts w:ascii="Times New Roman" w:hAnsi="Times New Roman" w:cs="Times New Roman"/>
                <w:b/>
                <w:color w:val="000000"/>
              </w:rPr>
              <w:t>ерентен разход</w:t>
            </w:r>
          </w:p>
        </w:tc>
        <w:tc>
          <w:tcPr>
            <w:tcW w:w="6977" w:type="dxa"/>
          </w:tcPr>
          <w:p w14:paraId="365F77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F83E7C" w:rsidRPr="00AC0FA4" w14:paraId="5FE9DD17" w14:textId="77777777" w:rsidTr="00A634FD">
        <w:tc>
          <w:tcPr>
            <w:tcW w:w="2235" w:type="dxa"/>
          </w:tcPr>
          <w:p w14:paraId="01381E39" w14:textId="77777777" w:rsidR="00F83E7C" w:rsidRPr="00AC0FA4" w:rsidRDefault="00F83E7C" w:rsidP="00F83E7C">
            <w:pPr>
              <w:jc w:val="both"/>
              <w:rPr>
                <w:rFonts w:ascii="Times New Roman" w:hAnsi="Times New Roman" w:cs="Times New Roman"/>
                <w:b/>
                <w:color w:val="000000"/>
              </w:rPr>
            </w:pPr>
            <w:r w:rsidRPr="00187C11">
              <w:rPr>
                <w:rFonts w:ascii="Times New Roman" w:hAnsi="Times New Roman" w:cs="Times New Roman"/>
                <w:b/>
              </w:rPr>
              <w:t>Спортна инфраструктура</w:t>
            </w:r>
          </w:p>
        </w:tc>
        <w:tc>
          <w:tcPr>
            <w:tcW w:w="6977" w:type="dxa"/>
          </w:tcPr>
          <w:p w14:paraId="60EC2F92" w14:textId="77777777" w:rsidR="00F83E7C" w:rsidRPr="00AC0FA4" w:rsidRDefault="00F83E7C" w:rsidP="00F83E7C">
            <w:pPr>
              <w:jc w:val="both"/>
              <w:rPr>
                <w:rFonts w:ascii="Times New Roman" w:hAnsi="Times New Roman" w:cs="Times New Roman"/>
              </w:rPr>
            </w:pPr>
            <w:r w:rsidRPr="00CE6FF2">
              <w:rPr>
                <w:rFonts w:ascii="Times New Roman" w:hAnsi="Times New Roman" w:cs="Times New Roman"/>
              </w:rPr>
              <w:t xml:space="preserve">Обществено достъпни открити площи, </w:t>
            </w:r>
            <w:r w:rsidRPr="00CE6FF2">
              <w:rPr>
                <w:rFonts w:ascii="Times New Roman" w:hAnsi="Times New Roman" w:cs="Times New Roman"/>
                <w:color w:val="000000"/>
                <w:lan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w:t>
            </w:r>
            <w:r>
              <w:rPr>
                <w:rFonts w:ascii="Times New Roman" w:hAnsi="Times New Roman" w:cs="Times New Roman"/>
                <w:color w:val="000000"/>
                <w:lang w:eastAsia="bg-BG"/>
              </w:rPr>
              <w:t xml:space="preserve">един обект: </w:t>
            </w:r>
            <w:r w:rsidRPr="00CE6FF2">
              <w:rPr>
                <w:rFonts w:ascii="Times New Roman" w:hAnsi="Times New Roman" w:cs="Times New Roman"/>
                <w:color w:val="000000"/>
                <w:lang w:eastAsia="bg-BG"/>
              </w:rPr>
              <w:t>футболн</w:t>
            </w:r>
            <w:r>
              <w:rPr>
                <w:rFonts w:ascii="Times New Roman" w:hAnsi="Times New Roman" w:cs="Times New Roman"/>
                <w:color w:val="000000"/>
                <w:lang w:eastAsia="bg-BG"/>
              </w:rPr>
              <w:t>о</w:t>
            </w:r>
            <w:r w:rsidRPr="00CE6FF2">
              <w:rPr>
                <w:rFonts w:ascii="Times New Roman" w:hAnsi="Times New Roman" w:cs="Times New Roman"/>
                <w:color w:val="000000"/>
                <w:lang w:eastAsia="bg-BG"/>
              </w:rPr>
              <w:t xml:space="preserve"> игрищ</w:t>
            </w:r>
            <w:r>
              <w:rPr>
                <w:rFonts w:ascii="Times New Roman" w:hAnsi="Times New Roman" w:cs="Times New Roman"/>
                <w:color w:val="000000"/>
                <w:lang w:eastAsia="bg-BG"/>
              </w:rPr>
              <w:t>е</w:t>
            </w:r>
            <w:r w:rsidRPr="00CE6FF2">
              <w:rPr>
                <w:rFonts w:ascii="Times New Roman" w:hAnsi="Times New Roman" w:cs="Times New Roman"/>
                <w:color w:val="000000"/>
                <w:lang w:eastAsia="bg-BG"/>
              </w:rPr>
              <w:t xml:space="preserve"> на малко поле, </w:t>
            </w:r>
            <w:r w:rsidRPr="00CE6FF2">
              <w:rPr>
                <w:rFonts w:ascii="Times New Roman" w:hAnsi="Times New Roman" w:cs="Times New Roman"/>
              </w:rPr>
              <w:t>волейболн</w:t>
            </w:r>
            <w:r>
              <w:rPr>
                <w:rFonts w:ascii="Times New Roman" w:hAnsi="Times New Roman" w:cs="Times New Roman"/>
              </w:rPr>
              <w:t>о</w:t>
            </w:r>
            <w:r w:rsidRPr="00CE6FF2">
              <w:rPr>
                <w:rFonts w:ascii="Times New Roman" w:hAnsi="Times New Roman" w:cs="Times New Roman"/>
              </w:rPr>
              <w:t>, баскетболн</w:t>
            </w:r>
            <w:r>
              <w:rPr>
                <w:rFonts w:ascii="Times New Roman" w:hAnsi="Times New Roman" w:cs="Times New Roman"/>
              </w:rPr>
              <w:t>о</w:t>
            </w:r>
            <w:r w:rsidRPr="00CE6FF2">
              <w:rPr>
                <w:rFonts w:ascii="Times New Roman" w:hAnsi="Times New Roman" w:cs="Times New Roman"/>
              </w:rPr>
              <w:t>, хандбалн</w:t>
            </w:r>
            <w:r>
              <w:rPr>
                <w:rFonts w:ascii="Times New Roman" w:hAnsi="Times New Roman" w:cs="Times New Roman"/>
              </w:rPr>
              <w:t>о</w:t>
            </w:r>
            <w:r w:rsidRPr="00CE6FF2">
              <w:rPr>
                <w:rFonts w:ascii="Times New Roman" w:hAnsi="Times New Roman" w:cs="Times New Roman"/>
              </w:rPr>
              <w:t xml:space="preserve"> игрищ</w:t>
            </w:r>
            <w:r>
              <w:rPr>
                <w:rFonts w:ascii="Times New Roman" w:hAnsi="Times New Roman" w:cs="Times New Roman"/>
              </w:rPr>
              <w:t>е</w:t>
            </w:r>
            <w:r w:rsidRPr="00CE6FF2">
              <w:rPr>
                <w:rFonts w:ascii="Times New Roman" w:hAnsi="Times New Roman" w:cs="Times New Roman"/>
              </w:rPr>
              <w:t>, площадк</w:t>
            </w:r>
            <w:r>
              <w:rPr>
                <w:rFonts w:ascii="Times New Roman" w:hAnsi="Times New Roman" w:cs="Times New Roman"/>
              </w:rPr>
              <w:t>а</w:t>
            </w:r>
            <w:r w:rsidRPr="00CE6FF2">
              <w:rPr>
                <w:rFonts w:ascii="Times New Roman" w:hAnsi="Times New Roman" w:cs="Times New Roman"/>
              </w:rPr>
              <w:t xml:space="preserve"> за скейтборд и ролери и площадк</w:t>
            </w:r>
            <w:r>
              <w:rPr>
                <w:rFonts w:ascii="Times New Roman" w:hAnsi="Times New Roman" w:cs="Times New Roman"/>
              </w:rPr>
              <w:t>а</w:t>
            </w:r>
            <w:r w:rsidRPr="00CE6FF2">
              <w:rPr>
                <w:rFonts w:ascii="Times New Roman" w:hAnsi="Times New Roman" w:cs="Times New Roman"/>
              </w:rPr>
              <w:t xml:space="preserve"> за игра</w:t>
            </w:r>
            <w:r>
              <w:rPr>
                <w:rFonts w:ascii="Times New Roman" w:hAnsi="Times New Roman" w:cs="Times New Roman"/>
              </w:rPr>
              <w:t>.</w:t>
            </w:r>
          </w:p>
        </w:tc>
      </w:tr>
      <w:tr w:rsidR="00F83E7C" w:rsidRPr="00AC0FA4" w14:paraId="21664F69" w14:textId="77777777" w:rsidTr="00A634FD">
        <w:tc>
          <w:tcPr>
            <w:tcW w:w="2235" w:type="dxa"/>
          </w:tcPr>
          <w:p w14:paraId="29D3939F"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14:paraId="34D3138E"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14:paraId="20A1EB6E" w14:textId="77777777" w:rsidR="00F83E7C" w:rsidRPr="00AC0FA4" w:rsidRDefault="00F83E7C" w:rsidP="00F83E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ED1A151" w14:textId="77777777" w:rsidR="00F83E7C" w:rsidRPr="00AC0FA4" w:rsidRDefault="00F83E7C" w:rsidP="00F83E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14:paraId="4B268FC5" w14:textId="77777777" w:rsidR="00F83E7C" w:rsidRPr="00AC0FA4" w:rsidRDefault="00F83E7C" w:rsidP="00F83E7C">
            <w:pPr>
              <w:jc w:val="both"/>
              <w:rPr>
                <w:rFonts w:ascii="Times New Roman" w:hAnsi="Times New Roman" w:cs="Times New Roman"/>
              </w:rPr>
            </w:pPr>
          </w:p>
        </w:tc>
      </w:tr>
      <w:tr w:rsidR="00F83E7C" w:rsidRPr="00AC0FA4" w14:paraId="52F0DA88" w14:textId="77777777" w:rsidTr="00A634FD">
        <w:tc>
          <w:tcPr>
            <w:tcW w:w="2235" w:type="dxa"/>
          </w:tcPr>
          <w:p w14:paraId="6D0136A0"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14:paraId="62997CE7"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35598F99"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14:paraId="47E6A6B7"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769694EA"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14:paraId="09DBDE6E" w14:textId="77777777" w:rsidR="00F83E7C" w:rsidRPr="00AC0FA4" w:rsidRDefault="00F83E7C" w:rsidP="00F83E7C">
            <w:pPr>
              <w:jc w:val="both"/>
              <w:rPr>
                <w:rFonts w:ascii="Times New Roman" w:hAnsi="Times New Roman" w:cs="Times New Roman"/>
              </w:rPr>
            </w:pPr>
          </w:p>
        </w:tc>
      </w:tr>
      <w:tr w:rsidR="00F83E7C" w:rsidRPr="00AC0FA4" w14:paraId="273634A7" w14:textId="77777777" w:rsidTr="00A634FD">
        <w:tc>
          <w:tcPr>
            <w:tcW w:w="2235" w:type="dxa"/>
          </w:tcPr>
          <w:p w14:paraId="7CFC729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Терен</w:t>
            </w:r>
          </w:p>
        </w:tc>
        <w:tc>
          <w:tcPr>
            <w:tcW w:w="6977" w:type="dxa"/>
          </w:tcPr>
          <w:p w14:paraId="7BC3F260"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83E7C" w:rsidRPr="00AC0FA4" w14:paraId="3908A4C8" w14:textId="77777777" w:rsidTr="00A634FD">
        <w:tc>
          <w:tcPr>
            <w:tcW w:w="2235" w:type="dxa"/>
          </w:tcPr>
          <w:p w14:paraId="658EB42C"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14:paraId="2EA2DD18"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F83E7C" w:rsidRPr="00AC0FA4" w14:paraId="261E5FC1" w14:textId="77777777" w:rsidTr="00A634FD">
        <w:tc>
          <w:tcPr>
            <w:tcW w:w="2235" w:type="dxa"/>
          </w:tcPr>
          <w:p w14:paraId="1BA655F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Тротоар</w:t>
            </w:r>
          </w:p>
        </w:tc>
        <w:tc>
          <w:tcPr>
            <w:tcW w:w="6977" w:type="dxa"/>
          </w:tcPr>
          <w:p w14:paraId="573BA4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F83E7C" w:rsidRPr="00AC0FA4" w14:paraId="12B85A69" w14:textId="77777777" w:rsidTr="00A634FD">
        <w:tc>
          <w:tcPr>
            <w:tcW w:w="2235" w:type="dxa"/>
          </w:tcPr>
          <w:p w14:paraId="764C3744"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Улица</w:t>
            </w:r>
          </w:p>
        </w:tc>
        <w:tc>
          <w:tcPr>
            <w:tcW w:w="6977" w:type="dxa"/>
          </w:tcPr>
          <w:p w14:paraId="64F128D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Част от комуникационно-транспортната система на урбанизираните територии, която обхваща уличната мрежа съгласно </w:t>
            </w:r>
            <w:hyperlink r:id="rId21" w:history="1">
              <w:r w:rsidRPr="00AC0FA4">
                <w:rPr>
                  <w:rFonts w:ascii="Times New Roman" w:hAnsi="Times New Roman" w:cs="Times New Roman"/>
                  <w:color w:val="000000"/>
                </w:rPr>
                <w:t>Наредба № 2 от 2004 г. за планиране и проектиране на комуникационно-транспортните системи на урбанизираните територии</w:t>
              </w:r>
            </w:hyperlink>
            <w:r w:rsidRPr="00AC0FA4">
              <w:rPr>
                <w:rFonts w:ascii="Times New Roman" w:hAnsi="Times New Roman" w:cs="Times New Roman"/>
              </w:rPr>
              <w:t xml:space="preserve"> (ДВ, бр. 89 от 2004 г.).</w:t>
            </w:r>
          </w:p>
        </w:tc>
      </w:tr>
      <w:tr w:rsidR="00F83E7C" w:rsidRPr="00AC0FA4" w14:paraId="39B9A162" w14:textId="77777777" w:rsidTr="00A634FD">
        <w:tc>
          <w:tcPr>
            <w:tcW w:w="2235" w:type="dxa"/>
          </w:tcPr>
          <w:p w14:paraId="45711841"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Улични принадлежности</w:t>
            </w:r>
          </w:p>
        </w:tc>
        <w:tc>
          <w:tcPr>
            <w:tcW w:w="6977" w:type="dxa"/>
          </w:tcPr>
          <w:p w14:paraId="1EBC529A"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Принадлежности от комуникационно-транспортната система на урбанизираните територии, която обхваща уличната мрежа и които включват улична маркировка, енергозахранващите и осветителните съоръжения и тела, спирки за масовия градски транспорт, пейки, съдове за събир</w:t>
            </w:r>
            <w:r>
              <w:rPr>
                <w:rFonts w:ascii="Times New Roman" w:hAnsi="Times New Roman" w:cs="Times New Roman"/>
              </w:rPr>
              <w:t xml:space="preserve">ане на отпадъци </w:t>
            </w:r>
            <w:r w:rsidRPr="00AC0FA4">
              <w:rPr>
                <w:rFonts w:ascii="Times New Roman" w:hAnsi="Times New Roman" w:cs="Times New Roman"/>
              </w:rPr>
              <w:t>и камери за видеонаблюдение.</w:t>
            </w:r>
          </w:p>
        </w:tc>
      </w:tr>
      <w:tr w:rsidR="00F83E7C" w:rsidRPr="00AC0FA4" w14:paraId="1AEC2DE7" w14:textId="77777777" w:rsidTr="00A634FD">
        <w:tc>
          <w:tcPr>
            <w:tcW w:w="2235" w:type="dxa"/>
          </w:tcPr>
          <w:p w14:paraId="2170F25D"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Улични съоръжения</w:t>
            </w:r>
          </w:p>
        </w:tc>
        <w:tc>
          <w:tcPr>
            <w:tcW w:w="6977" w:type="dxa"/>
          </w:tcPr>
          <w:p w14:paraId="050E91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r w:rsidR="00F83E7C" w:rsidRPr="00AC0FA4" w14:paraId="06458045" w14:textId="77777777" w:rsidTr="00A634FD">
        <w:tc>
          <w:tcPr>
            <w:tcW w:w="2235" w:type="dxa"/>
          </w:tcPr>
          <w:p w14:paraId="69EA5F47" w14:textId="0B040283"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 xml:space="preserve">Управляващ орган </w:t>
            </w:r>
          </w:p>
        </w:tc>
        <w:tc>
          <w:tcPr>
            <w:tcW w:w="6977" w:type="dxa"/>
          </w:tcPr>
          <w:p w14:paraId="5F562139" w14:textId="33E11D01" w:rsidR="00F83E7C" w:rsidRPr="00AC0FA4" w:rsidRDefault="00F83E7C" w:rsidP="00F83E7C">
            <w:pPr>
              <w:jc w:val="both"/>
              <w:rPr>
                <w:rFonts w:ascii="Times New Roman" w:hAnsi="Times New Roman" w:cs="Times New Roman"/>
              </w:rPr>
            </w:pPr>
            <w:r w:rsidRPr="007713C1">
              <w:rPr>
                <w:rFonts w:ascii="Times New Roman" w:hAnsi="Times New Roman" w:cs="Times New Roman"/>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F83E7C" w:rsidRPr="00AC0FA4" w14:paraId="1A79DCC5" w14:textId="77777777" w:rsidTr="00A634FD">
        <w:tc>
          <w:tcPr>
            <w:tcW w:w="2235" w:type="dxa"/>
          </w:tcPr>
          <w:p w14:paraId="71A9AD7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14:paraId="15709110"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14:paraId="6EBD1831" w14:textId="77777777" w:rsidR="00412CF4" w:rsidRDefault="00412CF4" w:rsidP="006318F6">
      <w:pPr>
        <w:spacing w:before="240"/>
        <w:rPr>
          <w:rFonts w:ascii="Times New Roman" w:hAnsi="Times New Roman" w:cs="Times New Roman"/>
          <w:b/>
          <w:noProof/>
        </w:rPr>
      </w:pPr>
    </w:p>
    <w:p w14:paraId="42DB7485" w14:textId="76DF267A" w:rsidR="00F83E7C" w:rsidRDefault="007F5391" w:rsidP="006318F6">
      <w:pPr>
        <w:spacing w:before="240"/>
        <w:rPr>
          <w:rFonts w:ascii="Times New Roman" w:hAnsi="Times New Roman" w:cs="Times New Roman"/>
          <w:b/>
          <w:noProof/>
        </w:rPr>
      </w:pPr>
      <w:r w:rsidRPr="007713C1">
        <w:rPr>
          <w:rFonts w:ascii="Times New Roman" w:hAnsi="Times New Roman" w:cs="Times New Roman"/>
          <w:b/>
          <w:noProof/>
        </w:rPr>
        <w:t>СПИСЪК НА СЪК</w:t>
      </w:r>
      <w:r w:rsidR="00F83E7C" w:rsidRPr="007713C1">
        <w:rPr>
          <w:rFonts w:ascii="Times New Roman" w:hAnsi="Times New Roman" w:cs="Times New Roman"/>
          <w:b/>
          <w:noProof/>
        </w:rPr>
        <w:t>РАЩЕНИЯТА</w:t>
      </w:r>
    </w:p>
    <w:tbl>
      <w:tblPr>
        <w:tblStyle w:val="2"/>
        <w:tblW w:w="0" w:type="auto"/>
        <w:tblLook w:val="04A0" w:firstRow="1" w:lastRow="0" w:firstColumn="1" w:lastColumn="0" w:noHBand="0" w:noVBand="1"/>
      </w:tblPr>
      <w:tblGrid>
        <w:gridCol w:w="2235"/>
        <w:gridCol w:w="6977"/>
      </w:tblGrid>
      <w:tr w:rsidR="00412CF4" w:rsidRPr="00CC3223" w14:paraId="4953EBA3" w14:textId="77777777" w:rsidTr="00A634FD">
        <w:tc>
          <w:tcPr>
            <w:tcW w:w="2235" w:type="dxa"/>
          </w:tcPr>
          <w:p w14:paraId="370858C5"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rPr>
              <w:t>БФП</w:t>
            </w:r>
          </w:p>
        </w:tc>
        <w:tc>
          <w:tcPr>
            <w:tcW w:w="6977" w:type="dxa"/>
          </w:tcPr>
          <w:p w14:paraId="5642521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412CF4" w:rsidRPr="00CC3223" w14:paraId="480CC768" w14:textId="77777777" w:rsidTr="00A634FD">
        <w:tc>
          <w:tcPr>
            <w:tcW w:w="2235" w:type="dxa"/>
          </w:tcPr>
          <w:p w14:paraId="3383974B" w14:textId="77777777" w:rsidR="00412CF4" w:rsidRPr="00CC3223" w:rsidRDefault="00412CF4" w:rsidP="00A634FD">
            <w:pPr>
              <w:jc w:val="both"/>
              <w:rPr>
                <w:rFonts w:ascii="Times New Roman" w:hAnsi="Times New Roman" w:cs="Times New Roman"/>
                <w:b/>
              </w:rPr>
            </w:pPr>
            <w:r>
              <w:rPr>
                <w:rFonts w:ascii="Times New Roman" w:hAnsi="Times New Roman" w:cs="Times New Roman"/>
                <w:b/>
              </w:rPr>
              <w:t>ДДС</w:t>
            </w:r>
          </w:p>
        </w:tc>
        <w:tc>
          <w:tcPr>
            <w:tcW w:w="6977" w:type="dxa"/>
          </w:tcPr>
          <w:p w14:paraId="5A4FF23C" w14:textId="77777777" w:rsidR="00412CF4" w:rsidRPr="00CC3223" w:rsidRDefault="00412CF4" w:rsidP="00A634FD">
            <w:pPr>
              <w:jc w:val="both"/>
              <w:rPr>
                <w:rFonts w:ascii="Times New Roman" w:hAnsi="Times New Roman" w:cs="Times New Roman"/>
              </w:rPr>
            </w:pPr>
            <w:r>
              <w:rPr>
                <w:rFonts w:ascii="Times New Roman" w:hAnsi="Times New Roman" w:cs="Times New Roman"/>
              </w:rPr>
              <w:t>Данък върху добавената стойност</w:t>
            </w:r>
          </w:p>
        </w:tc>
      </w:tr>
      <w:tr w:rsidR="00412CF4" w:rsidRPr="00CC3223" w14:paraId="71017B65" w14:textId="77777777" w:rsidTr="00A634FD">
        <w:tc>
          <w:tcPr>
            <w:tcW w:w="2235" w:type="dxa"/>
          </w:tcPr>
          <w:p w14:paraId="2D4AB1EE" w14:textId="77777777" w:rsidR="00412CF4" w:rsidRDefault="00412CF4" w:rsidP="00A634FD">
            <w:pPr>
              <w:jc w:val="both"/>
              <w:rPr>
                <w:rFonts w:ascii="Times New Roman" w:hAnsi="Times New Roman" w:cs="Times New Roman"/>
                <w:b/>
              </w:rPr>
            </w:pPr>
            <w:r>
              <w:rPr>
                <w:rFonts w:ascii="Times New Roman" w:hAnsi="Times New Roman" w:cs="Times New Roman"/>
                <w:b/>
              </w:rPr>
              <w:t>ДФЗ-РА</w:t>
            </w:r>
          </w:p>
        </w:tc>
        <w:tc>
          <w:tcPr>
            <w:tcW w:w="6977" w:type="dxa"/>
          </w:tcPr>
          <w:p w14:paraId="2598C670" w14:textId="77777777" w:rsidR="00412CF4" w:rsidRDefault="00412CF4" w:rsidP="00A634FD">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412CF4" w:rsidRPr="00CC3223" w14:paraId="15532D0F" w14:textId="77777777" w:rsidTr="00A634FD">
        <w:tc>
          <w:tcPr>
            <w:tcW w:w="2235" w:type="dxa"/>
          </w:tcPr>
          <w:p w14:paraId="60E7C12F"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rPr>
              <w:t>ЕС</w:t>
            </w:r>
          </w:p>
        </w:tc>
        <w:tc>
          <w:tcPr>
            <w:tcW w:w="6977" w:type="dxa"/>
          </w:tcPr>
          <w:p w14:paraId="35EB0CB4"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412CF4" w:rsidRPr="00CC3223" w14:paraId="0FAF29E0" w14:textId="77777777" w:rsidTr="00A634FD">
        <w:tc>
          <w:tcPr>
            <w:tcW w:w="2235" w:type="dxa"/>
          </w:tcPr>
          <w:p w14:paraId="32F45FDB"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14:paraId="640E325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412CF4" w:rsidRPr="00CC3223" w14:paraId="739FD086" w14:textId="77777777" w:rsidTr="00A634FD">
        <w:tc>
          <w:tcPr>
            <w:tcW w:w="2235" w:type="dxa"/>
          </w:tcPr>
          <w:p w14:paraId="4DE6352A"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14:paraId="13926E58"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412CF4" w:rsidRPr="00CC3223" w14:paraId="4713FFC0" w14:textId="77777777" w:rsidTr="00A634FD">
        <w:tc>
          <w:tcPr>
            <w:tcW w:w="2235" w:type="dxa"/>
          </w:tcPr>
          <w:p w14:paraId="550FAB7A"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14:paraId="55323877"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14:paraId="02AD2292" w14:textId="77777777" w:rsidR="00412CF4" w:rsidRPr="00CC3223" w:rsidRDefault="00412CF4" w:rsidP="00A634FD">
            <w:pPr>
              <w:jc w:val="both"/>
              <w:rPr>
                <w:rFonts w:ascii="Times New Roman" w:hAnsi="Times New Roman" w:cs="Times New Roman"/>
              </w:rPr>
            </w:pPr>
          </w:p>
        </w:tc>
      </w:tr>
      <w:tr w:rsidR="00412CF4" w:rsidRPr="00CC3223" w14:paraId="52039FD7" w14:textId="77777777" w:rsidTr="00A634FD">
        <w:tc>
          <w:tcPr>
            <w:tcW w:w="2235" w:type="dxa"/>
          </w:tcPr>
          <w:p w14:paraId="654731E1"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14:paraId="7751805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14:paraId="0CB68B1D" w14:textId="77777777" w:rsidR="00412CF4" w:rsidRPr="00CC3223" w:rsidRDefault="00412CF4" w:rsidP="00A634FD">
            <w:pPr>
              <w:jc w:val="both"/>
              <w:rPr>
                <w:rFonts w:ascii="Times New Roman" w:hAnsi="Times New Roman" w:cs="Times New Roman"/>
              </w:rPr>
            </w:pPr>
          </w:p>
        </w:tc>
      </w:tr>
      <w:tr w:rsidR="00412CF4" w:rsidRPr="00CC3223" w14:paraId="0131631B" w14:textId="77777777" w:rsidTr="00A634FD">
        <w:tc>
          <w:tcPr>
            <w:tcW w:w="2235" w:type="dxa"/>
          </w:tcPr>
          <w:p w14:paraId="7017DFCE" w14:textId="77777777" w:rsidR="00412CF4" w:rsidRPr="00CC3223" w:rsidRDefault="00412CF4" w:rsidP="00A634FD">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14:paraId="5EF1E6D5" w14:textId="77777777" w:rsidR="00412CF4" w:rsidRPr="00CC3223" w:rsidRDefault="00412CF4" w:rsidP="00A634FD">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412CF4" w:rsidRPr="00CC3223" w14:paraId="57821225" w14:textId="77777777" w:rsidTr="00A634FD">
        <w:tc>
          <w:tcPr>
            <w:tcW w:w="2235" w:type="dxa"/>
          </w:tcPr>
          <w:p w14:paraId="5EB3C199" w14:textId="77777777" w:rsidR="00412CF4" w:rsidRDefault="00412CF4" w:rsidP="00A634FD">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14:paraId="3116ECAA" w14:textId="77777777" w:rsidR="00412CF4" w:rsidRDefault="00412CF4" w:rsidP="00A634FD">
            <w:pPr>
              <w:jc w:val="both"/>
              <w:rPr>
                <w:rFonts w:ascii="Times New Roman" w:hAnsi="Times New Roman" w:cs="Times New Roman"/>
              </w:rPr>
            </w:pPr>
            <w:r>
              <w:rPr>
                <w:rFonts w:ascii="Times New Roman" w:hAnsi="Times New Roman" w:cs="Times New Roman"/>
              </w:rPr>
              <w:t>Закон за културното наследство</w:t>
            </w:r>
          </w:p>
        </w:tc>
      </w:tr>
      <w:tr w:rsidR="00412CF4" w:rsidRPr="00CC3223" w14:paraId="1F24B87C" w14:textId="77777777" w:rsidTr="00A634FD">
        <w:tc>
          <w:tcPr>
            <w:tcW w:w="2235" w:type="dxa"/>
          </w:tcPr>
          <w:p w14:paraId="33FEEDDC"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lastRenderedPageBreak/>
              <w:t>ЗОП</w:t>
            </w:r>
          </w:p>
        </w:tc>
        <w:tc>
          <w:tcPr>
            <w:tcW w:w="6977" w:type="dxa"/>
          </w:tcPr>
          <w:p w14:paraId="55F7D149"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412CF4" w:rsidRPr="00CC3223" w14:paraId="7000A36A" w14:textId="77777777" w:rsidTr="00A634FD">
        <w:tc>
          <w:tcPr>
            <w:tcW w:w="2235" w:type="dxa"/>
          </w:tcPr>
          <w:p w14:paraId="5EC6342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14:paraId="74CBA477"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14:paraId="43716370" w14:textId="77777777" w:rsidR="00412CF4" w:rsidRPr="00CC3223" w:rsidRDefault="00412CF4" w:rsidP="00A634FD">
            <w:pPr>
              <w:jc w:val="both"/>
              <w:rPr>
                <w:rFonts w:ascii="Times New Roman" w:hAnsi="Times New Roman" w:cs="Times New Roman"/>
              </w:rPr>
            </w:pPr>
          </w:p>
        </w:tc>
      </w:tr>
      <w:tr w:rsidR="00412CF4" w:rsidRPr="00CC3223" w14:paraId="0FC5CDBF" w14:textId="77777777" w:rsidTr="00A634FD">
        <w:tc>
          <w:tcPr>
            <w:tcW w:w="2235" w:type="dxa"/>
          </w:tcPr>
          <w:p w14:paraId="638A10A4"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14:paraId="42AD5C96"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412CF4" w:rsidRPr="00CC3223" w14:paraId="73B7798D" w14:textId="77777777" w:rsidTr="00A634FD">
        <w:tc>
          <w:tcPr>
            <w:tcW w:w="2235" w:type="dxa"/>
          </w:tcPr>
          <w:p w14:paraId="3272D767"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14:paraId="7ABE5B0A"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412CF4" w:rsidRPr="00CC3223" w14:paraId="608BD2B5" w14:textId="77777777" w:rsidTr="00A634FD">
        <w:tc>
          <w:tcPr>
            <w:tcW w:w="2235" w:type="dxa"/>
          </w:tcPr>
          <w:p w14:paraId="60BF1E3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14:paraId="1EF717E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14:paraId="085C85F6" w14:textId="77777777" w:rsidR="00412CF4" w:rsidRPr="00CC3223" w:rsidRDefault="00412CF4" w:rsidP="00A634FD">
            <w:pPr>
              <w:jc w:val="both"/>
              <w:rPr>
                <w:rFonts w:ascii="Times New Roman" w:hAnsi="Times New Roman" w:cs="Times New Roman"/>
              </w:rPr>
            </w:pPr>
          </w:p>
        </w:tc>
      </w:tr>
      <w:tr w:rsidR="00412CF4" w:rsidRPr="00CC3223" w14:paraId="2C2A1BF0" w14:textId="77777777" w:rsidTr="00A634FD">
        <w:tc>
          <w:tcPr>
            <w:tcW w:w="2235" w:type="dxa"/>
          </w:tcPr>
          <w:p w14:paraId="6F1F4743"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14:paraId="1DFDC98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412CF4" w:rsidRPr="00CC3223" w14:paraId="1B204758" w14:textId="77777777" w:rsidTr="00A634FD">
        <w:tc>
          <w:tcPr>
            <w:tcW w:w="2235" w:type="dxa"/>
          </w:tcPr>
          <w:p w14:paraId="667E8760"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14:paraId="1F1C48C4" w14:textId="77777777" w:rsidR="00412CF4" w:rsidRPr="00CC3223" w:rsidRDefault="00412CF4" w:rsidP="00A634FD">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412CF4" w:rsidRPr="00CC3223" w14:paraId="3E714344" w14:textId="77777777" w:rsidTr="00A634FD">
        <w:tc>
          <w:tcPr>
            <w:tcW w:w="2235" w:type="dxa"/>
          </w:tcPr>
          <w:p w14:paraId="405DC10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14:paraId="67C2FD03"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 xml:space="preserve">Количествено-стойностни </w:t>
            </w:r>
          </w:p>
        </w:tc>
      </w:tr>
      <w:tr w:rsidR="00412CF4" w:rsidRPr="00CC3223" w14:paraId="4809D7AF" w14:textId="77777777" w:rsidTr="00A634FD">
        <w:tc>
          <w:tcPr>
            <w:tcW w:w="2235" w:type="dxa"/>
          </w:tcPr>
          <w:p w14:paraId="1A2E661E"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14:paraId="01103B49"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14:paraId="66BEFD57" w14:textId="77777777" w:rsidR="00412CF4" w:rsidRPr="00CC3223" w:rsidRDefault="00412CF4" w:rsidP="00A634FD">
            <w:pPr>
              <w:jc w:val="both"/>
              <w:rPr>
                <w:rFonts w:ascii="Times New Roman" w:hAnsi="Times New Roman" w:cs="Times New Roman"/>
              </w:rPr>
            </w:pPr>
          </w:p>
        </w:tc>
      </w:tr>
      <w:tr w:rsidR="00412CF4" w:rsidRPr="00CC3223" w14:paraId="33B03624" w14:textId="77777777" w:rsidTr="00A634FD">
        <w:tc>
          <w:tcPr>
            <w:tcW w:w="2235" w:type="dxa"/>
          </w:tcPr>
          <w:p w14:paraId="3CA43B2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14:paraId="037E1433"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Официален вестник на ЕС</w:t>
            </w:r>
          </w:p>
          <w:p w14:paraId="16D99184" w14:textId="77777777" w:rsidR="00412CF4" w:rsidRPr="00CC3223" w:rsidRDefault="00412CF4" w:rsidP="00A634FD">
            <w:pPr>
              <w:jc w:val="both"/>
              <w:rPr>
                <w:rFonts w:ascii="Times New Roman" w:hAnsi="Times New Roman" w:cs="Times New Roman"/>
              </w:rPr>
            </w:pPr>
          </w:p>
        </w:tc>
      </w:tr>
      <w:tr w:rsidR="00412CF4" w:rsidRPr="00CC3223" w14:paraId="4E6B4ADB" w14:textId="77777777" w:rsidTr="00A634FD">
        <w:tc>
          <w:tcPr>
            <w:tcW w:w="2235" w:type="dxa"/>
          </w:tcPr>
          <w:p w14:paraId="0A19DDF8"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14:paraId="1D65333C"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412CF4" w:rsidRPr="00CC3223" w14:paraId="7DDBB740" w14:textId="77777777" w:rsidTr="00A634FD">
        <w:tc>
          <w:tcPr>
            <w:tcW w:w="2235" w:type="dxa"/>
          </w:tcPr>
          <w:p w14:paraId="05238708"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14:paraId="3EFFFEB8"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412CF4" w:rsidRPr="00CC3223" w14:paraId="327F6D55" w14:textId="77777777" w:rsidTr="00A634FD">
        <w:tc>
          <w:tcPr>
            <w:tcW w:w="2235" w:type="dxa"/>
          </w:tcPr>
          <w:p w14:paraId="71120D5B"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14:paraId="5C9746A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412CF4" w:rsidRPr="00CC3223" w14:paraId="1E3F9C55" w14:textId="77777777" w:rsidTr="00A634FD">
        <w:tc>
          <w:tcPr>
            <w:tcW w:w="2235" w:type="dxa"/>
          </w:tcPr>
          <w:p w14:paraId="5D9233D6"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14:paraId="4CDB9067"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412CF4" w:rsidRPr="00CC3223" w14:paraId="0DC5A235" w14:textId="77777777" w:rsidTr="00A634FD">
        <w:tc>
          <w:tcPr>
            <w:tcW w:w="2235" w:type="dxa"/>
          </w:tcPr>
          <w:p w14:paraId="095D255A"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14:paraId="556E913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Управляващ орган</w:t>
            </w:r>
          </w:p>
        </w:tc>
      </w:tr>
    </w:tbl>
    <w:p w14:paraId="26B060B3" w14:textId="77777777" w:rsidR="00132B9C" w:rsidRPr="007713C1" w:rsidRDefault="00132B9C" w:rsidP="00462B4A">
      <w:pPr>
        <w:pStyle w:val="Heading1"/>
        <w:pageBreakBefore/>
      </w:pPr>
      <w:bookmarkStart w:id="0" w:name="_Toc442298704"/>
      <w:bookmarkStart w:id="1" w:name="_Toc445385556"/>
      <w:bookmarkStart w:id="2" w:name="_Toc534292197"/>
      <w:r w:rsidRPr="007713C1">
        <w:lastRenderedPageBreak/>
        <w:t>1. Наименование на програмата:</w:t>
      </w:r>
      <w:bookmarkEnd w:id="0"/>
      <w:bookmarkEnd w:id="1"/>
      <w:bookmarkEnd w:id="2"/>
    </w:p>
    <w:p w14:paraId="577A6D2C" w14:textId="77777777" w:rsidR="0010018A" w:rsidRPr="007713C1" w:rsidRDefault="007A5B9B"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Pr>
          <w:rFonts w:ascii="Times New Roman" w:hAnsi="Times New Roman" w:cs="Times New Roman"/>
          <w:sz w:val="24"/>
          <w:szCs w:val="24"/>
        </w:rPr>
        <w:t>Програма за развитие на селските райони</w:t>
      </w:r>
      <w:r w:rsidR="00341037">
        <w:rPr>
          <w:rFonts w:ascii="Times New Roman" w:hAnsi="Times New Roman" w:cs="Times New Roman"/>
          <w:sz w:val="24"/>
          <w:szCs w:val="24"/>
        </w:rPr>
        <w:t xml:space="preserve"> (ПРСР)</w:t>
      </w:r>
      <w:r w:rsidR="00C8067E" w:rsidRPr="007713C1">
        <w:rPr>
          <w:rFonts w:ascii="Times New Roman" w:hAnsi="Times New Roman" w:cs="Times New Roman"/>
          <w:sz w:val="24"/>
          <w:szCs w:val="24"/>
        </w:rPr>
        <w:t xml:space="preserve">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r w:rsidR="00245C8D">
        <w:rPr>
          <w:rFonts w:ascii="Times New Roman" w:hAnsi="Times New Roman" w:cs="Times New Roman"/>
          <w:sz w:val="24"/>
          <w:szCs w:val="24"/>
        </w:rPr>
        <w:t>.</w:t>
      </w:r>
    </w:p>
    <w:p w14:paraId="0EBB0907" w14:textId="77777777" w:rsidR="008A2A1F" w:rsidRPr="007713C1" w:rsidRDefault="008A2A1F" w:rsidP="007570DC">
      <w:pPr>
        <w:pStyle w:val="Heading1"/>
      </w:pPr>
      <w:bookmarkStart w:id="3" w:name="_Toc445385563"/>
      <w:bookmarkStart w:id="4" w:name="_Toc534292198"/>
      <w:r w:rsidRPr="007713C1">
        <w:t>2. Наименование на приоритетната ос:</w:t>
      </w:r>
      <w:bookmarkEnd w:id="3"/>
      <w:bookmarkEnd w:id="4"/>
    </w:p>
    <w:p w14:paraId="548C82A5" w14:textId="1BE0FE51" w:rsidR="008D45C0" w:rsidRPr="003515F3" w:rsidRDefault="003A00F2"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Неприложимо.</w:t>
      </w:r>
    </w:p>
    <w:p w14:paraId="5980E62A" w14:textId="77777777" w:rsidR="000D139D" w:rsidRPr="007713C1" w:rsidRDefault="000D139D" w:rsidP="007570DC">
      <w:pPr>
        <w:pStyle w:val="Heading1"/>
      </w:pPr>
      <w:bookmarkStart w:id="5" w:name="_Toc445385564"/>
      <w:bookmarkStart w:id="6" w:name="_Toc534292199"/>
      <w:r w:rsidRPr="007713C1">
        <w:t>3. Наименование на процедурата:</w:t>
      </w:r>
      <w:bookmarkEnd w:id="5"/>
      <w:bookmarkEnd w:id="6"/>
    </w:p>
    <w:p w14:paraId="410AC4DB" w14:textId="0EEFB385" w:rsidR="00A11A19" w:rsidRPr="00B238FF" w:rsidRDefault="00B238FF"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2953B4">
        <w:rPr>
          <w:rFonts w:ascii="Times New Roman" w:hAnsi="Times New Roman" w:cs="Times New Roman"/>
          <w:sz w:val="24"/>
          <w:szCs w:val="24"/>
        </w:rPr>
        <w:t xml:space="preserve">Процедура чрез подбор на проектни предложения </w:t>
      </w:r>
      <w:r w:rsidRPr="00B238FF">
        <w:rPr>
          <w:rFonts w:ascii="Times New Roman" w:hAnsi="Times New Roman" w:cs="Times New Roman"/>
          <w:sz w:val="24"/>
          <w:szCs w:val="24"/>
        </w:rPr>
        <w:t xml:space="preserve">№ </w:t>
      </w:r>
      <w:r w:rsidR="006546D1" w:rsidRPr="00B238FF">
        <w:rPr>
          <w:rFonts w:ascii="Times New Roman" w:hAnsi="Times New Roman" w:cs="Times New Roman"/>
          <w:sz w:val="24"/>
          <w:szCs w:val="24"/>
        </w:rPr>
        <w:t xml:space="preserve">BG06RDNP001-19.002 </w:t>
      </w:r>
      <w:r w:rsidR="008916EB" w:rsidRPr="00B238FF">
        <w:rPr>
          <w:rFonts w:ascii="Times New Roman" w:hAnsi="Times New Roman" w:cs="Times New Roman"/>
          <w:sz w:val="24"/>
          <w:szCs w:val="24"/>
        </w:rPr>
        <w:t>МИГ_Поморие_10_1_</w:t>
      </w:r>
      <w:r w:rsidR="00447514">
        <w:rPr>
          <w:rFonts w:ascii="Times New Roman" w:hAnsi="Times New Roman" w:cs="Times New Roman"/>
          <w:sz w:val="24"/>
          <w:szCs w:val="24"/>
          <w:lang w:val="en-US"/>
        </w:rPr>
        <w:t xml:space="preserve">7.2. </w:t>
      </w:r>
      <w:r w:rsidR="008916EB" w:rsidRPr="00B238FF">
        <w:rPr>
          <w:rFonts w:ascii="Times New Roman" w:hAnsi="Times New Roman" w:cs="Times New Roman"/>
          <w:sz w:val="24"/>
          <w:szCs w:val="24"/>
        </w:rPr>
        <w:t>М4_</w:t>
      </w:r>
      <w:r w:rsidR="00D73770" w:rsidRPr="00B238FF">
        <w:rPr>
          <w:rFonts w:ascii="Times New Roman" w:hAnsi="Times New Roman" w:cs="Times New Roman"/>
          <w:sz w:val="24"/>
          <w:szCs w:val="24"/>
        </w:rPr>
        <w:t>“</w:t>
      </w:r>
      <w:r w:rsidR="00E02929" w:rsidRPr="00B238FF">
        <w:rPr>
          <w:rFonts w:ascii="Times New Roman" w:hAnsi="Times New Roman" w:cs="Times New Roman"/>
          <w:sz w:val="24"/>
          <w:szCs w:val="24"/>
        </w:rPr>
        <w:t xml:space="preserve">Инвестиции в </w:t>
      </w:r>
      <w:r w:rsidR="009F5000" w:rsidRPr="00B238FF">
        <w:rPr>
          <w:rFonts w:ascii="Times New Roman" w:hAnsi="Times New Roman" w:cs="Times New Roman"/>
          <w:sz w:val="24"/>
          <w:szCs w:val="24"/>
        </w:rPr>
        <w:t>създаването, подобряването или разширяването на всички видове малка по мащаби инфраструктура</w:t>
      </w:r>
      <w:r w:rsidR="00D73770" w:rsidRPr="00B238FF">
        <w:rPr>
          <w:rFonts w:ascii="Times New Roman" w:hAnsi="Times New Roman" w:cs="Times New Roman"/>
          <w:sz w:val="24"/>
          <w:szCs w:val="24"/>
        </w:rPr>
        <w:t>”</w:t>
      </w:r>
    </w:p>
    <w:p w14:paraId="552ED91A" w14:textId="77777777" w:rsidR="00A11A19" w:rsidRPr="007713C1" w:rsidRDefault="00A11A19" w:rsidP="007570DC">
      <w:pPr>
        <w:pStyle w:val="Heading1"/>
      </w:pPr>
      <w:bookmarkStart w:id="7" w:name="_Toc445385565"/>
      <w:bookmarkStart w:id="8" w:name="_Toc534292200"/>
      <w:r w:rsidRPr="007713C1">
        <w:t>4. Измерения по кодове</w:t>
      </w:r>
      <w:r w:rsidR="00D467D3" w:rsidRPr="007713C1">
        <w:rPr>
          <w:rStyle w:val="FootnoteReference"/>
          <w:b w:val="0"/>
        </w:rPr>
        <w:footnoteReference w:id="1"/>
      </w:r>
      <w:r w:rsidRPr="007713C1">
        <w:t>:</w:t>
      </w:r>
      <w:bookmarkEnd w:id="7"/>
      <w:bookmarkEnd w:id="8"/>
      <w:r w:rsidR="002325A3" w:rsidRPr="007713C1">
        <w:t xml:space="preserve">  </w:t>
      </w:r>
    </w:p>
    <w:tbl>
      <w:tblPr>
        <w:tblStyle w:val="TableGrid"/>
        <w:tblW w:w="9606" w:type="dxa"/>
        <w:tblLook w:val="04A0" w:firstRow="1" w:lastRow="0" w:firstColumn="1" w:lastColumn="0" w:noHBand="0" w:noVBand="1"/>
      </w:tblPr>
      <w:tblGrid>
        <w:gridCol w:w="9606"/>
      </w:tblGrid>
      <w:tr w:rsidR="00A11A19" w:rsidRPr="007713C1" w14:paraId="091EA417" w14:textId="77777777" w:rsidTr="007570DC">
        <w:tc>
          <w:tcPr>
            <w:tcW w:w="9606" w:type="dxa"/>
          </w:tcPr>
          <w:p w14:paraId="2E302C42" w14:textId="3AEF236D" w:rsidR="00A0679D" w:rsidRPr="00336771" w:rsidRDefault="00B238FF" w:rsidP="00FD78FC">
            <w:pPr>
              <w:pStyle w:val="ListParagraph"/>
              <w:spacing w:before="120" w:after="120"/>
              <w:ind w:left="0"/>
              <w:contextualSpacing w:val="0"/>
              <w:jc w:val="both"/>
              <w:rPr>
                <w:color w:val="FF0000"/>
                <w:sz w:val="24"/>
                <w:szCs w:val="24"/>
              </w:rPr>
            </w:pPr>
            <w:r w:rsidRPr="002953B4">
              <w:rPr>
                <w:sz w:val="24"/>
                <w:szCs w:val="24"/>
              </w:rPr>
              <w:t>Неприложимо</w:t>
            </w:r>
            <w:r w:rsidR="002953B4">
              <w:rPr>
                <w:sz w:val="24"/>
                <w:szCs w:val="24"/>
              </w:rPr>
              <w:t>.</w:t>
            </w:r>
          </w:p>
        </w:tc>
      </w:tr>
    </w:tbl>
    <w:p w14:paraId="7789BE19" w14:textId="77777777" w:rsidR="00C338A6" w:rsidRPr="007713C1" w:rsidRDefault="00C338A6" w:rsidP="007570DC">
      <w:pPr>
        <w:pStyle w:val="Heading1"/>
      </w:pPr>
      <w:bookmarkStart w:id="9" w:name="_Toc445385566"/>
      <w:bookmarkStart w:id="10" w:name="_Toc534292201"/>
      <w:r w:rsidRPr="007713C1">
        <w:t>5. Териториален обхват:</w:t>
      </w:r>
      <w:bookmarkEnd w:id="9"/>
      <w:bookmarkEnd w:id="10"/>
    </w:p>
    <w:p w14:paraId="7A4ECAAD" w14:textId="77777777" w:rsidR="00B22AC3" w:rsidRPr="00B22AC3" w:rsidRDefault="00B22AC3" w:rsidP="007570D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B22AC3">
        <w:rPr>
          <w:rFonts w:ascii="Times New Roman" w:hAnsi="Times New Roman" w:cs="Times New Roman"/>
          <w:sz w:val="24"/>
          <w:szCs w:val="24"/>
        </w:rPr>
        <w:t>Проектите се изпълняват на територията на МИГ-Поморие.</w:t>
      </w:r>
    </w:p>
    <w:p w14:paraId="3BC249F5" w14:textId="77777777" w:rsidR="00BA0A9F" w:rsidRPr="007713C1" w:rsidRDefault="00C338A6" w:rsidP="007570DC">
      <w:pPr>
        <w:pStyle w:val="Heading1"/>
      </w:pPr>
      <w:bookmarkStart w:id="11" w:name="_Toc445385567"/>
      <w:bookmarkStart w:id="12" w:name="_Toc534292202"/>
      <w:r w:rsidRPr="007713C1">
        <w:t>6. Цели на предоставяната безвъзмездна финансова помощ по процедурата и очаквани резултати:</w:t>
      </w:r>
      <w:bookmarkEnd w:id="11"/>
      <w:bookmarkEnd w:id="12"/>
    </w:p>
    <w:tbl>
      <w:tblPr>
        <w:tblStyle w:val="TableGrid"/>
        <w:tblW w:w="0" w:type="auto"/>
        <w:tblLook w:val="04A0" w:firstRow="1" w:lastRow="0" w:firstColumn="1" w:lastColumn="0" w:noHBand="0" w:noVBand="1"/>
      </w:tblPr>
      <w:tblGrid>
        <w:gridCol w:w="9346"/>
      </w:tblGrid>
      <w:tr w:rsidR="00BA0A9F" w:rsidRPr="007713C1" w14:paraId="4FAEF505" w14:textId="77777777" w:rsidTr="00BA0A9F">
        <w:tc>
          <w:tcPr>
            <w:tcW w:w="9496" w:type="dxa"/>
          </w:tcPr>
          <w:p w14:paraId="279C0044" w14:textId="77777777" w:rsidR="00153C49" w:rsidRDefault="00BA0A9F" w:rsidP="00BA0A9F">
            <w:pPr>
              <w:pStyle w:val="ListParagraph"/>
              <w:spacing w:before="120" w:after="120"/>
              <w:ind w:left="0"/>
              <w:jc w:val="both"/>
              <w:rPr>
                <w:b/>
                <w:sz w:val="24"/>
                <w:szCs w:val="24"/>
              </w:rPr>
            </w:pPr>
            <w:r w:rsidRPr="007713C1">
              <w:rPr>
                <w:b/>
                <w:sz w:val="24"/>
                <w:szCs w:val="24"/>
              </w:rPr>
              <w:t>Цел</w:t>
            </w:r>
            <w:r w:rsidR="00935E1E">
              <w:rPr>
                <w:b/>
                <w:sz w:val="24"/>
                <w:szCs w:val="24"/>
              </w:rPr>
              <w:t>и</w:t>
            </w:r>
            <w:r w:rsidRPr="007713C1">
              <w:rPr>
                <w:b/>
                <w:sz w:val="24"/>
                <w:szCs w:val="24"/>
              </w:rPr>
              <w:t xml:space="preserve"> на процедурата:</w:t>
            </w:r>
          </w:p>
          <w:p w14:paraId="26C2F663" w14:textId="77777777" w:rsidR="00FD34BA" w:rsidRPr="00D4144D" w:rsidRDefault="00FD34BA" w:rsidP="00D4144D">
            <w:pPr>
              <w:pStyle w:val="ListParagraph"/>
              <w:numPr>
                <w:ilvl w:val="0"/>
                <w:numId w:val="8"/>
              </w:numPr>
              <w:autoSpaceDE w:val="0"/>
              <w:autoSpaceDN w:val="0"/>
              <w:adjustRightInd w:val="0"/>
              <w:jc w:val="both"/>
              <w:rPr>
                <w:color w:val="000000"/>
                <w:sz w:val="24"/>
                <w:szCs w:val="24"/>
              </w:rPr>
            </w:pPr>
            <w:r w:rsidRPr="00D4144D">
              <w:rPr>
                <w:color w:val="000000"/>
                <w:sz w:val="24"/>
                <w:szCs w:val="24"/>
              </w:rPr>
              <w:t>Повишаване на привлекателността на населените места в община Поморие;</w:t>
            </w:r>
          </w:p>
          <w:p w14:paraId="1BF9EC78" w14:textId="79A32658" w:rsidR="00A0679D" w:rsidRPr="00DB14EC" w:rsidRDefault="00FD34BA" w:rsidP="00DB14EC">
            <w:pPr>
              <w:pStyle w:val="ListParagraph"/>
              <w:numPr>
                <w:ilvl w:val="0"/>
                <w:numId w:val="8"/>
              </w:numPr>
              <w:autoSpaceDE w:val="0"/>
              <w:autoSpaceDN w:val="0"/>
              <w:adjustRightInd w:val="0"/>
              <w:jc w:val="both"/>
              <w:rPr>
                <w:color w:val="000000"/>
                <w:sz w:val="24"/>
                <w:szCs w:val="24"/>
              </w:rPr>
            </w:pPr>
            <w:r w:rsidRPr="00D4144D">
              <w:rPr>
                <w:color w:val="000000"/>
                <w:sz w:val="24"/>
                <w:szCs w:val="24"/>
              </w:rPr>
              <w:t>Подобряване качеството на живот във всички населени места;</w:t>
            </w:r>
          </w:p>
          <w:p w14:paraId="78782E6B" w14:textId="25986657" w:rsidR="00FD34BA" w:rsidRPr="002953B4" w:rsidRDefault="00FD34BA" w:rsidP="002953B4">
            <w:pPr>
              <w:pStyle w:val="ListParagraph"/>
              <w:numPr>
                <w:ilvl w:val="0"/>
                <w:numId w:val="8"/>
              </w:numPr>
              <w:autoSpaceDE w:val="0"/>
              <w:autoSpaceDN w:val="0"/>
              <w:adjustRightInd w:val="0"/>
              <w:jc w:val="both"/>
              <w:rPr>
                <w:color w:val="000000"/>
                <w:sz w:val="24"/>
                <w:szCs w:val="24"/>
              </w:rPr>
            </w:pPr>
            <w:r w:rsidRPr="002953B4">
              <w:rPr>
                <w:color w:val="000000"/>
                <w:sz w:val="24"/>
                <w:szCs w:val="24"/>
              </w:rPr>
              <w:t>Насърчаване на социалното приобщаване и икономическото развитие на територията на МИГ Поморие.</w:t>
            </w:r>
          </w:p>
          <w:p w14:paraId="181E93B7" w14:textId="77777777" w:rsidR="00FC2D4D" w:rsidRDefault="00FC2D4D" w:rsidP="00DB14EC">
            <w:pPr>
              <w:pStyle w:val="ListParagraph"/>
              <w:spacing w:before="120" w:line="276" w:lineRule="auto"/>
              <w:ind w:left="0"/>
              <w:jc w:val="both"/>
              <w:rPr>
                <w:b/>
                <w:sz w:val="24"/>
                <w:szCs w:val="24"/>
              </w:rPr>
            </w:pPr>
          </w:p>
          <w:p w14:paraId="3599C1C6" w14:textId="77777777" w:rsidR="00DB14EC" w:rsidRDefault="001724A4" w:rsidP="00DB14EC">
            <w:pPr>
              <w:pStyle w:val="ListParagraph"/>
              <w:spacing w:before="120" w:line="276" w:lineRule="auto"/>
              <w:ind w:left="0"/>
              <w:jc w:val="both"/>
              <w:rPr>
                <w:b/>
                <w:sz w:val="24"/>
                <w:szCs w:val="24"/>
              </w:rPr>
            </w:pPr>
            <w:r w:rsidRPr="007713C1">
              <w:rPr>
                <w:b/>
                <w:sz w:val="24"/>
                <w:szCs w:val="24"/>
              </w:rPr>
              <w:t>Обосновка:</w:t>
            </w:r>
          </w:p>
          <w:p w14:paraId="66AB88FE" w14:textId="77777777" w:rsidR="005D6067" w:rsidRPr="001C7A55" w:rsidRDefault="005D6067" w:rsidP="00DB14EC">
            <w:pPr>
              <w:pStyle w:val="ListParagraph"/>
              <w:spacing w:before="120" w:line="276" w:lineRule="auto"/>
              <w:ind w:left="0"/>
              <w:jc w:val="both"/>
              <w:rPr>
                <w:sz w:val="24"/>
                <w:szCs w:val="24"/>
              </w:rPr>
            </w:pPr>
            <w:r w:rsidRPr="001C7A55">
              <w:rPr>
                <w:sz w:val="24"/>
                <w:szCs w:val="24"/>
              </w:rPr>
              <w:t xml:space="preserve">За заинтересованите страни в територията на МИГ Поморие е изключително важно да се подобри общия вид на инфраструктурата на населените места и услугите, които могат да се предоставят извън общинския център. </w:t>
            </w:r>
          </w:p>
          <w:p w14:paraId="5DB35DBA" w14:textId="77777777" w:rsidR="005D6067" w:rsidRPr="001C7A55" w:rsidRDefault="005D6067" w:rsidP="005D6067">
            <w:pPr>
              <w:pStyle w:val="ListParagraph"/>
              <w:ind w:left="0"/>
              <w:jc w:val="both"/>
              <w:rPr>
                <w:sz w:val="24"/>
                <w:szCs w:val="24"/>
              </w:rPr>
            </w:pPr>
          </w:p>
          <w:p w14:paraId="451F8029" w14:textId="77777777" w:rsidR="005D6067" w:rsidRDefault="005D6067" w:rsidP="00B31B62">
            <w:pPr>
              <w:pStyle w:val="ListParagraph"/>
              <w:spacing w:before="120"/>
              <w:ind w:left="0"/>
              <w:jc w:val="both"/>
              <w:rPr>
                <w:sz w:val="24"/>
                <w:szCs w:val="24"/>
              </w:rPr>
            </w:pPr>
            <w:r w:rsidRPr="001C7A55">
              <w:rPr>
                <w:sz w:val="24"/>
                <w:szCs w:val="24"/>
              </w:rPr>
              <w:t xml:space="preserve">В населените места на територията на МИГ Поморие се наблюдават редица проблемни точки от </w:t>
            </w:r>
            <w:r w:rsidRPr="001C7A55">
              <w:rPr>
                <w:bCs/>
                <w:sz w:val="24"/>
                <w:szCs w:val="24"/>
              </w:rPr>
              <w:t>градоустройствено и архитектурно</w:t>
            </w:r>
            <w:r w:rsidRPr="001C7A55">
              <w:rPr>
                <w:b/>
                <w:bCs/>
                <w:sz w:val="24"/>
                <w:szCs w:val="24"/>
              </w:rPr>
              <w:t xml:space="preserve"> </w:t>
            </w:r>
            <w:r w:rsidRPr="001C7A55">
              <w:rPr>
                <w:sz w:val="24"/>
                <w:szCs w:val="24"/>
              </w:rPr>
              <w:t xml:space="preserve">естество. Състоянието на голяма част от </w:t>
            </w:r>
            <w:r w:rsidRPr="001C7A55">
              <w:rPr>
                <w:sz w:val="24"/>
                <w:szCs w:val="24"/>
              </w:rPr>
              <w:lastRenderedPageBreak/>
              <w:t xml:space="preserve">обществените сгради не е задоволително. Очевидна е необходимостта от защита, опазване и разширяване на обществените озеленени площи. Градската физическа среда и сградния фонд в големи части от територията на град Поморие са амортизирани и имат нужда от реконструкция. </w:t>
            </w:r>
            <w:r w:rsidRPr="001C7A55">
              <w:rPr>
                <w:color w:val="000000"/>
                <w:sz w:val="24"/>
                <w:szCs w:val="24"/>
              </w:rPr>
              <w:t xml:space="preserve">Състоянието на общинската и третокласна пътна мрежа е незадоволително, водопроводните мрежи са технически амортизирани, канализационната мрежа е недоизградена. </w:t>
            </w:r>
            <w:r w:rsidRPr="001C7A55">
              <w:rPr>
                <w:sz w:val="24"/>
                <w:szCs w:val="24"/>
              </w:rPr>
              <w:t>Голям минус е недостатъчната финансова обезпеченост за развитието на културата и съхранение, поддръжка и ремонт, реставрация и консервация на недвижимите и движимите културни ценности.</w:t>
            </w:r>
          </w:p>
          <w:p w14:paraId="3B738F64" w14:textId="490C3B45" w:rsidR="001C7383" w:rsidRPr="001C7A55" w:rsidRDefault="002953B4" w:rsidP="002953B4">
            <w:pPr>
              <w:pStyle w:val="ListParagraph"/>
              <w:tabs>
                <w:tab w:val="left" w:pos="7035"/>
              </w:tabs>
              <w:spacing w:before="120"/>
              <w:ind w:left="0"/>
              <w:jc w:val="both"/>
              <w:rPr>
                <w:sz w:val="24"/>
                <w:szCs w:val="24"/>
              </w:rPr>
            </w:pPr>
            <w:r>
              <w:rPr>
                <w:sz w:val="24"/>
                <w:szCs w:val="24"/>
              </w:rPr>
              <w:tab/>
            </w:r>
          </w:p>
          <w:p w14:paraId="64848BB2" w14:textId="571BF1E2" w:rsidR="005D6067" w:rsidRPr="001C7A55" w:rsidRDefault="005D6067" w:rsidP="005D6067">
            <w:pPr>
              <w:pStyle w:val="ListParagraph"/>
              <w:ind w:left="0"/>
              <w:jc w:val="both"/>
              <w:rPr>
                <w:i/>
                <w:sz w:val="24"/>
                <w:szCs w:val="24"/>
              </w:rPr>
            </w:pPr>
            <w:r w:rsidRPr="001C7A55">
              <w:rPr>
                <w:sz w:val="24"/>
                <w:szCs w:val="24"/>
              </w:rPr>
              <w:t xml:space="preserve">Поради публичният характер на настоящата мярка, реализацията на всеки един проект, финансиран чрез нея, ще генерира ползи за голяма част от местното население. Изпълнението на </w:t>
            </w:r>
            <w:r w:rsidR="009A144A" w:rsidRPr="009A144A">
              <w:rPr>
                <w:sz w:val="24"/>
                <w:szCs w:val="24"/>
              </w:rPr>
              <w:t>М4_“Инвестиции в създаването, подобряването или разширяването на всички видове малка по мащаби инфраструктура”</w:t>
            </w:r>
            <w:r w:rsidRPr="001C7A55">
              <w:rPr>
                <w:sz w:val="24"/>
                <w:szCs w:val="24"/>
              </w:rPr>
              <w:t xml:space="preserve"> ще допринесе за реализирането на целите на </w:t>
            </w:r>
            <w:r w:rsidRPr="001C7A55">
              <w:rPr>
                <w:sz w:val="24"/>
                <w:szCs w:val="24"/>
                <w:u w:val="single"/>
              </w:rPr>
              <w:t>Приоритет 2</w:t>
            </w:r>
            <w:r w:rsidRPr="001C7A55">
              <w:rPr>
                <w:sz w:val="24"/>
                <w:szCs w:val="24"/>
              </w:rPr>
              <w:t xml:space="preserve"> на СВОМР: “</w:t>
            </w:r>
            <w:r w:rsidRPr="001C7A55">
              <w:rPr>
                <w:i/>
                <w:sz w:val="24"/>
                <w:szCs w:val="24"/>
              </w:rPr>
              <w:t>Стимулиране на местното развитие и опазване на околната среда”</w:t>
            </w:r>
            <w:r w:rsidRPr="001C7A55">
              <w:rPr>
                <w:sz w:val="24"/>
                <w:szCs w:val="24"/>
              </w:rPr>
              <w:t xml:space="preserve"> и по-специално </w:t>
            </w:r>
            <w:r w:rsidRPr="001C7A55">
              <w:rPr>
                <w:sz w:val="24"/>
                <w:szCs w:val="24"/>
                <w:u w:val="single"/>
              </w:rPr>
              <w:t>Специфична цел 2.1:</w:t>
            </w:r>
            <w:r w:rsidRPr="001C7A55">
              <w:rPr>
                <w:sz w:val="24"/>
                <w:szCs w:val="24"/>
              </w:rPr>
              <w:t xml:space="preserve"> “</w:t>
            </w:r>
            <w:r w:rsidRPr="001C7A55">
              <w:rPr>
                <w:i/>
                <w:sz w:val="24"/>
                <w:szCs w:val="24"/>
              </w:rPr>
              <w:t>Повишаване конкурентоспособността на територията и качеството на живот чрез подобряване на жизнената среда и насърчаване на нови бизнес начинания”.</w:t>
            </w:r>
          </w:p>
          <w:p w14:paraId="4BF00D98" w14:textId="77777777" w:rsidR="003D4610" w:rsidRPr="00AE32E0" w:rsidRDefault="003D4610" w:rsidP="00BA0A9F">
            <w:pPr>
              <w:pStyle w:val="ListParagraph"/>
              <w:spacing w:before="120" w:after="120"/>
              <w:ind w:left="0"/>
              <w:jc w:val="both"/>
              <w:rPr>
                <w:sz w:val="24"/>
                <w:szCs w:val="24"/>
              </w:rPr>
            </w:pPr>
          </w:p>
          <w:p w14:paraId="53466991" w14:textId="77777777" w:rsidR="00BA0A9F" w:rsidRPr="00AE32E0" w:rsidRDefault="00AE32E0" w:rsidP="00BA0A9F">
            <w:pPr>
              <w:pStyle w:val="ListParagraph"/>
              <w:spacing w:before="120" w:after="120"/>
              <w:ind w:left="0"/>
              <w:jc w:val="both"/>
              <w:rPr>
                <w:b/>
                <w:sz w:val="24"/>
                <w:szCs w:val="24"/>
              </w:rPr>
            </w:pPr>
            <w:r>
              <w:rPr>
                <w:b/>
                <w:sz w:val="24"/>
                <w:szCs w:val="24"/>
              </w:rPr>
              <w:t>Очаквани резултати:</w:t>
            </w:r>
          </w:p>
          <w:p w14:paraId="41A962C2" w14:textId="161D9E7D" w:rsidR="00BE659F" w:rsidRPr="00BE659F" w:rsidRDefault="00BE659F" w:rsidP="00BE659F">
            <w:pPr>
              <w:spacing w:before="120" w:after="120"/>
              <w:jc w:val="both"/>
              <w:rPr>
                <w:sz w:val="24"/>
                <w:szCs w:val="24"/>
              </w:rPr>
            </w:pPr>
            <w:r w:rsidRPr="00BE659F">
              <w:rPr>
                <w:sz w:val="24"/>
                <w:szCs w:val="24"/>
              </w:rPr>
              <w:t xml:space="preserve">- </w:t>
            </w:r>
            <w:r w:rsidR="00AC5E49">
              <w:rPr>
                <w:sz w:val="24"/>
                <w:szCs w:val="24"/>
              </w:rPr>
              <w:t>финансиране на изпълнението на 7</w:t>
            </w:r>
            <w:r w:rsidRPr="00BE659F">
              <w:rPr>
                <w:sz w:val="24"/>
                <w:szCs w:val="24"/>
              </w:rPr>
              <w:t xml:space="preserve"> проекта по настоящата мярка за създаване, подобряване и/или разширяване на обществената инфраструктура и повишаване на привлекателността на населените места на територията на МИГ- Поморие;</w:t>
            </w:r>
          </w:p>
          <w:p w14:paraId="4F4CC85A" w14:textId="100EC3D4" w:rsidR="00E0672E" w:rsidRPr="00E0672E" w:rsidRDefault="00AC5E49" w:rsidP="00BE659F">
            <w:pPr>
              <w:spacing w:before="120" w:after="120"/>
              <w:jc w:val="both"/>
              <w:rPr>
                <w:sz w:val="24"/>
                <w:szCs w:val="24"/>
              </w:rPr>
            </w:pPr>
            <w:r>
              <w:rPr>
                <w:sz w:val="24"/>
                <w:szCs w:val="24"/>
              </w:rPr>
              <w:t>- 45</w:t>
            </w:r>
            <w:r w:rsidR="00BE659F" w:rsidRPr="00BE659F">
              <w:rPr>
                <w:sz w:val="24"/>
                <w:szCs w:val="24"/>
              </w:rPr>
              <w:t>% от населението на МИГ се ползва от подобрената среда.</w:t>
            </w:r>
          </w:p>
        </w:tc>
      </w:tr>
    </w:tbl>
    <w:p w14:paraId="05FA8FDF" w14:textId="77777777" w:rsidR="00821B06" w:rsidRPr="007713C1" w:rsidRDefault="00821B06" w:rsidP="007570DC">
      <w:pPr>
        <w:pStyle w:val="Heading1"/>
      </w:pPr>
      <w:bookmarkStart w:id="13" w:name="_Toc445385568"/>
      <w:bookmarkStart w:id="14" w:name="_Toc534292203"/>
      <w:r w:rsidRPr="007713C1">
        <w:lastRenderedPageBreak/>
        <w:t>7. Индикатори:</w:t>
      </w:r>
      <w:bookmarkEnd w:id="13"/>
      <w:bookmarkEnd w:id="14"/>
    </w:p>
    <w:tbl>
      <w:tblPr>
        <w:tblStyle w:val="TableGrid"/>
        <w:tblW w:w="0" w:type="auto"/>
        <w:tblLook w:val="04A0" w:firstRow="1" w:lastRow="0" w:firstColumn="1" w:lastColumn="0" w:noHBand="0" w:noVBand="1"/>
      </w:tblPr>
      <w:tblGrid>
        <w:gridCol w:w="9346"/>
      </w:tblGrid>
      <w:tr w:rsidR="0037199F" w:rsidRPr="007713C1" w14:paraId="614CA6BC" w14:textId="77777777" w:rsidTr="0037199F">
        <w:tc>
          <w:tcPr>
            <w:tcW w:w="9496" w:type="dxa"/>
          </w:tcPr>
          <w:tbl>
            <w:tblPr>
              <w:tblStyle w:val="TableGrid"/>
              <w:tblpPr w:leftFromText="141" w:rightFromText="141" w:horzAnchor="margin" w:tblpY="510"/>
              <w:tblOverlap w:val="never"/>
              <w:tblW w:w="0" w:type="auto"/>
              <w:tblLook w:val="04A0" w:firstRow="1" w:lastRow="0" w:firstColumn="1" w:lastColumn="0" w:noHBand="0" w:noVBand="1"/>
            </w:tblPr>
            <w:tblGrid>
              <w:gridCol w:w="1823"/>
              <w:gridCol w:w="1164"/>
              <w:gridCol w:w="1215"/>
              <w:gridCol w:w="2538"/>
              <w:gridCol w:w="1164"/>
              <w:gridCol w:w="1216"/>
            </w:tblGrid>
            <w:tr w:rsidR="00C871C6" w:rsidRPr="0037093B" w14:paraId="3A7063C2" w14:textId="77777777" w:rsidTr="00D137FE">
              <w:trPr>
                <w:trHeight w:val="809"/>
              </w:trPr>
              <w:tc>
                <w:tcPr>
                  <w:tcW w:w="4202" w:type="dxa"/>
                  <w:gridSpan w:val="3"/>
                  <w:shd w:val="clear" w:color="auto" w:fill="CCECFF"/>
                  <w:vAlign w:val="center"/>
                </w:tcPr>
                <w:p w14:paraId="786E0353" w14:textId="77777777" w:rsidR="00C871C6" w:rsidRPr="0037093B" w:rsidRDefault="00C871C6" w:rsidP="00C871C6">
                  <w:pPr>
                    <w:pStyle w:val="ListParagraph"/>
                    <w:spacing w:before="120" w:after="120"/>
                    <w:ind w:left="0"/>
                    <w:contextualSpacing w:val="0"/>
                    <w:jc w:val="center"/>
                    <w:rPr>
                      <w:b/>
                      <w:sz w:val="24"/>
                      <w:szCs w:val="24"/>
                    </w:rPr>
                  </w:pPr>
                  <w:r w:rsidRPr="0037093B">
                    <w:rPr>
                      <w:b/>
                      <w:sz w:val="24"/>
                      <w:szCs w:val="24"/>
                    </w:rPr>
                    <w:t>ИНДИКАТОРИ ЗА ИЗПЪЛНЕНИЕ</w:t>
                  </w:r>
                </w:p>
              </w:tc>
              <w:tc>
                <w:tcPr>
                  <w:tcW w:w="4918" w:type="dxa"/>
                  <w:gridSpan w:val="3"/>
                  <w:shd w:val="clear" w:color="auto" w:fill="CCECFF"/>
                  <w:vAlign w:val="center"/>
                </w:tcPr>
                <w:p w14:paraId="2F827287" w14:textId="77777777" w:rsidR="00C871C6" w:rsidRPr="0037093B" w:rsidRDefault="00C871C6" w:rsidP="00C871C6">
                  <w:pPr>
                    <w:pStyle w:val="ListParagraph"/>
                    <w:spacing w:before="120" w:after="120"/>
                    <w:ind w:left="0"/>
                    <w:contextualSpacing w:val="0"/>
                    <w:jc w:val="center"/>
                    <w:rPr>
                      <w:b/>
                      <w:sz w:val="24"/>
                      <w:szCs w:val="24"/>
                    </w:rPr>
                  </w:pPr>
                  <w:r w:rsidRPr="0037093B">
                    <w:rPr>
                      <w:b/>
                      <w:sz w:val="24"/>
                      <w:szCs w:val="24"/>
                    </w:rPr>
                    <w:t>ИНДИКАТОРИ ЗА РЕЗУЛТАТ</w:t>
                  </w:r>
                </w:p>
              </w:tc>
            </w:tr>
            <w:tr w:rsidR="00F97F0A" w:rsidRPr="0037093B" w14:paraId="61C06E2F" w14:textId="77777777" w:rsidTr="00D137FE">
              <w:trPr>
                <w:trHeight w:val="552"/>
              </w:trPr>
              <w:tc>
                <w:tcPr>
                  <w:tcW w:w="1823" w:type="dxa"/>
                  <w:vAlign w:val="center"/>
                </w:tcPr>
                <w:p w14:paraId="04AFE498"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Индикатор</w:t>
                  </w:r>
                </w:p>
              </w:tc>
              <w:tc>
                <w:tcPr>
                  <w:tcW w:w="1164" w:type="dxa"/>
                  <w:vAlign w:val="center"/>
                </w:tcPr>
                <w:p w14:paraId="6AE149E6"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Мерна единица</w:t>
                  </w:r>
                </w:p>
              </w:tc>
              <w:tc>
                <w:tcPr>
                  <w:tcW w:w="1215" w:type="dxa"/>
                  <w:vAlign w:val="center"/>
                </w:tcPr>
                <w:p w14:paraId="5FDCDC9C"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Целева стойност</w:t>
                  </w:r>
                </w:p>
              </w:tc>
              <w:tc>
                <w:tcPr>
                  <w:tcW w:w="2538" w:type="dxa"/>
                  <w:vAlign w:val="center"/>
                </w:tcPr>
                <w:p w14:paraId="370847C8"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Индикатор</w:t>
                  </w:r>
                </w:p>
              </w:tc>
              <w:tc>
                <w:tcPr>
                  <w:tcW w:w="1164" w:type="dxa"/>
                  <w:vAlign w:val="center"/>
                </w:tcPr>
                <w:p w14:paraId="53B687D7"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Мерна единица</w:t>
                  </w:r>
                </w:p>
              </w:tc>
              <w:tc>
                <w:tcPr>
                  <w:tcW w:w="1216" w:type="dxa"/>
                  <w:vAlign w:val="center"/>
                </w:tcPr>
                <w:p w14:paraId="1C862830"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Целева стойност</w:t>
                  </w:r>
                </w:p>
              </w:tc>
            </w:tr>
            <w:tr w:rsidR="00F97F0A" w:rsidRPr="0037093B" w14:paraId="5F71DACC" w14:textId="77777777" w:rsidTr="00D137FE">
              <w:trPr>
                <w:trHeight w:val="905"/>
              </w:trPr>
              <w:tc>
                <w:tcPr>
                  <w:tcW w:w="1823" w:type="dxa"/>
                  <w:vAlign w:val="center"/>
                </w:tcPr>
                <w:p w14:paraId="2E4FFC7C" w14:textId="77777777" w:rsidR="00C871C6" w:rsidRPr="0037093B" w:rsidRDefault="00000394" w:rsidP="00267B72">
                  <w:pPr>
                    <w:pStyle w:val="ListParagraph"/>
                    <w:spacing w:after="360"/>
                    <w:ind w:left="0"/>
                    <w:jc w:val="center"/>
                    <w:rPr>
                      <w:b/>
                      <w:sz w:val="24"/>
                      <w:szCs w:val="24"/>
                    </w:rPr>
                  </w:pPr>
                  <w:r w:rsidRPr="0037093B">
                    <w:rPr>
                      <w:b/>
                      <w:sz w:val="24"/>
                      <w:szCs w:val="24"/>
                    </w:rPr>
                    <w:t>Финансирани проекти</w:t>
                  </w:r>
                </w:p>
              </w:tc>
              <w:tc>
                <w:tcPr>
                  <w:tcW w:w="1164" w:type="dxa"/>
                  <w:vAlign w:val="center"/>
                </w:tcPr>
                <w:p w14:paraId="4D95DABE" w14:textId="77777777" w:rsidR="00C871C6" w:rsidRPr="0037093B" w:rsidRDefault="003C3D76" w:rsidP="003C3D76">
                  <w:pPr>
                    <w:pStyle w:val="ListParagraph"/>
                    <w:spacing w:after="360"/>
                    <w:ind w:left="0"/>
                    <w:jc w:val="center"/>
                    <w:rPr>
                      <w:b/>
                      <w:sz w:val="24"/>
                      <w:szCs w:val="24"/>
                    </w:rPr>
                  </w:pPr>
                  <w:r w:rsidRPr="0037093B">
                    <w:rPr>
                      <w:b/>
                      <w:sz w:val="24"/>
                      <w:szCs w:val="24"/>
                    </w:rPr>
                    <w:t>Брой</w:t>
                  </w:r>
                </w:p>
              </w:tc>
              <w:tc>
                <w:tcPr>
                  <w:tcW w:w="1215" w:type="dxa"/>
                  <w:vAlign w:val="center"/>
                </w:tcPr>
                <w:p w14:paraId="08F57F9F" w14:textId="40494AC1" w:rsidR="00C871C6" w:rsidRPr="0037093B" w:rsidRDefault="00846C52" w:rsidP="00000394">
                  <w:pPr>
                    <w:pStyle w:val="ListParagraph"/>
                    <w:spacing w:after="360"/>
                    <w:ind w:left="0"/>
                    <w:jc w:val="center"/>
                    <w:rPr>
                      <w:b/>
                      <w:sz w:val="24"/>
                      <w:szCs w:val="24"/>
                    </w:rPr>
                  </w:pPr>
                  <w:r>
                    <w:rPr>
                      <w:b/>
                      <w:sz w:val="24"/>
                      <w:szCs w:val="24"/>
                    </w:rPr>
                    <w:t>7</w:t>
                  </w:r>
                </w:p>
              </w:tc>
              <w:tc>
                <w:tcPr>
                  <w:tcW w:w="2538" w:type="dxa"/>
                  <w:vAlign w:val="center"/>
                </w:tcPr>
                <w:p w14:paraId="4D2DAD02" w14:textId="77777777" w:rsidR="00C871C6" w:rsidRPr="0037093B" w:rsidRDefault="00C5434D" w:rsidP="00A73609">
                  <w:pPr>
                    <w:pStyle w:val="ListParagraph"/>
                    <w:spacing w:after="360"/>
                    <w:ind w:left="0"/>
                    <w:jc w:val="center"/>
                    <w:rPr>
                      <w:b/>
                      <w:sz w:val="24"/>
                      <w:szCs w:val="24"/>
                    </w:rPr>
                  </w:pPr>
                  <w:r w:rsidRPr="0037093B">
                    <w:rPr>
                      <w:b/>
                      <w:sz w:val="24"/>
                      <w:szCs w:val="24"/>
                    </w:rPr>
                    <w:t>Население, което се ползва от подобрената среда</w:t>
                  </w:r>
                </w:p>
              </w:tc>
              <w:tc>
                <w:tcPr>
                  <w:tcW w:w="1164" w:type="dxa"/>
                  <w:vAlign w:val="center"/>
                </w:tcPr>
                <w:p w14:paraId="6C53130B" w14:textId="77777777" w:rsidR="00C871C6" w:rsidRPr="0037093B" w:rsidRDefault="00C5434D" w:rsidP="00076BB2">
                  <w:pPr>
                    <w:pStyle w:val="ListParagraph"/>
                    <w:spacing w:after="360"/>
                    <w:ind w:left="0"/>
                    <w:jc w:val="center"/>
                    <w:rPr>
                      <w:b/>
                      <w:sz w:val="24"/>
                      <w:szCs w:val="24"/>
                    </w:rPr>
                  </w:pPr>
                  <w:r w:rsidRPr="0037093B">
                    <w:rPr>
                      <w:b/>
                      <w:sz w:val="24"/>
                      <w:szCs w:val="24"/>
                    </w:rPr>
                    <w:t>%</w:t>
                  </w:r>
                </w:p>
              </w:tc>
              <w:tc>
                <w:tcPr>
                  <w:tcW w:w="1216" w:type="dxa"/>
                  <w:vAlign w:val="center"/>
                </w:tcPr>
                <w:p w14:paraId="4A0E8DB9" w14:textId="77777777" w:rsidR="00076BB2" w:rsidRPr="0037093B" w:rsidRDefault="00076BB2" w:rsidP="00076BB2">
                  <w:pPr>
                    <w:pStyle w:val="ListParagraph"/>
                    <w:spacing w:after="360"/>
                    <w:ind w:left="0"/>
                    <w:jc w:val="center"/>
                    <w:rPr>
                      <w:b/>
                      <w:sz w:val="24"/>
                      <w:szCs w:val="24"/>
                    </w:rPr>
                  </w:pPr>
                </w:p>
                <w:p w14:paraId="2B5FCE72" w14:textId="77777777" w:rsidR="00076BB2" w:rsidRPr="0037093B" w:rsidRDefault="00076BB2" w:rsidP="00076BB2">
                  <w:pPr>
                    <w:pStyle w:val="ListParagraph"/>
                    <w:spacing w:after="360"/>
                    <w:ind w:left="0"/>
                    <w:jc w:val="center"/>
                    <w:rPr>
                      <w:b/>
                      <w:sz w:val="24"/>
                      <w:szCs w:val="24"/>
                    </w:rPr>
                  </w:pPr>
                </w:p>
                <w:p w14:paraId="157FB5E5" w14:textId="3448F9D5" w:rsidR="00076BB2" w:rsidRPr="0037093B" w:rsidRDefault="00846C52" w:rsidP="00076BB2">
                  <w:pPr>
                    <w:pStyle w:val="ListParagraph"/>
                    <w:spacing w:after="360"/>
                    <w:ind w:left="0"/>
                    <w:jc w:val="center"/>
                    <w:rPr>
                      <w:b/>
                      <w:sz w:val="24"/>
                      <w:szCs w:val="24"/>
                    </w:rPr>
                  </w:pPr>
                  <w:r>
                    <w:rPr>
                      <w:b/>
                      <w:sz w:val="24"/>
                      <w:szCs w:val="24"/>
                    </w:rPr>
                    <w:t>45</w:t>
                  </w:r>
                </w:p>
              </w:tc>
            </w:tr>
            <w:tr w:rsidR="00F97F0A" w:rsidRPr="0037093B" w14:paraId="3209A5C0" w14:textId="77777777" w:rsidTr="00D137FE">
              <w:trPr>
                <w:trHeight w:val="785"/>
              </w:trPr>
              <w:tc>
                <w:tcPr>
                  <w:tcW w:w="1823" w:type="dxa"/>
                  <w:vAlign w:val="center"/>
                </w:tcPr>
                <w:p w14:paraId="2DE39E53" w14:textId="77777777" w:rsidR="00C871C6" w:rsidRPr="0037093B" w:rsidRDefault="00C5434D" w:rsidP="00111F7B">
                  <w:pPr>
                    <w:jc w:val="center"/>
                    <w:rPr>
                      <w:b/>
                      <w:sz w:val="24"/>
                      <w:szCs w:val="24"/>
                    </w:rPr>
                  </w:pPr>
                  <w:r w:rsidRPr="0037093B">
                    <w:rPr>
                      <w:b/>
                      <w:sz w:val="24"/>
                      <w:szCs w:val="24"/>
                    </w:rPr>
                    <w:lastRenderedPageBreak/>
                    <w:t>Б</w:t>
                  </w:r>
                  <w:r w:rsidR="00000394" w:rsidRPr="0037093B">
                    <w:rPr>
                      <w:b/>
                      <w:sz w:val="24"/>
                      <w:szCs w:val="24"/>
                    </w:rPr>
                    <w:t>енефициенти</w:t>
                  </w:r>
                </w:p>
              </w:tc>
              <w:tc>
                <w:tcPr>
                  <w:tcW w:w="1164" w:type="dxa"/>
                  <w:vAlign w:val="center"/>
                </w:tcPr>
                <w:p w14:paraId="103DA44E" w14:textId="77777777" w:rsidR="00C871C6" w:rsidRPr="0037093B" w:rsidRDefault="00076BB2" w:rsidP="00111F7B">
                  <w:pPr>
                    <w:jc w:val="center"/>
                    <w:rPr>
                      <w:b/>
                      <w:sz w:val="24"/>
                      <w:szCs w:val="24"/>
                    </w:rPr>
                  </w:pPr>
                  <w:r w:rsidRPr="0037093B">
                    <w:rPr>
                      <w:b/>
                      <w:sz w:val="24"/>
                      <w:szCs w:val="24"/>
                    </w:rPr>
                    <w:t>Брой</w:t>
                  </w:r>
                </w:p>
              </w:tc>
              <w:tc>
                <w:tcPr>
                  <w:tcW w:w="1215" w:type="dxa"/>
                  <w:vAlign w:val="center"/>
                </w:tcPr>
                <w:p w14:paraId="27D5091F" w14:textId="77777777" w:rsidR="00C871C6" w:rsidRPr="0037093B" w:rsidRDefault="00C5434D" w:rsidP="00111F7B">
                  <w:pPr>
                    <w:jc w:val="center"/>
                    <w:rPr>
                      <w:b/>
                      <w:sz w:val="24"/>
                      <w:szCs w:val="24"/>
                    </w:rPr>
                  </w:pPr>
                  <w:r w:rsidRPr="0037093B">
                    <w:rPr>
                      <w:b/>
                      <w:sz w:val="24"/>
                      <w:szCs w:val="24"/>
                    </w:rPr>
                    <w:t>2</w:t>
                  </w:r>
                </w:p>
              </w:tc>
              <w:tc>
                <w:tcPr>
                  <w:tcW w:w="2538" w:type="dxa"/>
                  <w:vAlign w:val="center"/>
                </w:tcPr>
                <w:p w14:paraId="32CBBA5C" w14:textId="77777777" w:rsidR="00C871C6" w:rsidRPr="0037093B" w:rsidRDefault="00C5434D" w:rsidP="00111F7B">
                  <w:pPr>
                    <w:jc w:val="center"/>
                    <w:rPr>
                      <w:b/>
                      <w:sz w:val="24"/>
                      <w:szCs w:val="24"/>
                    </w:rPr>
                  </w:pPr>
                  <w:r w:rsidRPr="0037093B">
                    <w:rPr>
                      <w:b/>
                      <w:sz w:val="24"/>
                      <w:szCs w:val="24"/>
                    </w:rPr>
                    <w:t>Създадена/подобрена обществена инфраструктура</w:t>
                  </w:r>
                </w:p>
              </w:tc>
              <w:tc>
                <w:tcPr>
                  <w:tcW w:w="1164" w:type="dxa"/>
                  <w:vAlign w:val="center"/>
                </w:tcPr>
                <w:p w14:paraId="4CB93BEE" w14:textId="77777777" w:rsidR="00C871C6" w:rsidRPr="0037093B" w:rsidRDefault="00076BB2" w:rsidP="00111F7B">
                  <w:pPr>
                    <w:jc w:val="center"/>
                    <w:rPr>
                      <w:b/>
                      <w:sz w:val="24"/>
                      <w:szCs w:val="24"/>
                    </w:rPr>
                  </w:pPr>
                  <w:r w:rsidRPr="0037093B">
                    <w:rPr>
                      <w:b/>
                      <w:sz w:val="24"/>
                      <w:szCs w:val="24"/>
                    </w:rPr>
                    <w:t>Брой</w:t>
                  </w:r>
                </w:p>
              </w:tc>
              <w:tc>
                <w:tcPr>
                  <w:tcW w:w="1216" w:type="dxa"/>
                  <w:vAlign w:val="center"/>
                </w:tcPr>
                <w:p w14:paraId="793CF180" w14:textId="541343E0" w:rsidR="00C871C6" w:rsidRPr="0037093B" w:rsidRDefault="00846C52" w:rsidP="00111F7B">
                  <w:pPr>
                    <w:jc w:val="center"/>
                    <w:rPr>
                      <w:b/>
                      <w:sz w:val="24"/>
                      <w:szCs w:val="24"/>
                    </w:rPr>
                  </w:pPr>
                  <w:r>
                    <w:rPr>
                      <w:b/>
                      <w:sz w:val="24"/>
                      <w:szCs w:val="24"/>
                    </w:rPr>
                    <w:t>7</w:t>
                  </w:r>
                </w:p>
              </w:tc>
            </w:tr>
            <w:tr w:rsidR="00000394" w:rsidRPr="0037093B" w14:paraId="30E1B503" w14:textId="77777777" w:rsidTr="00D137FE">
              <w:tc>
                <w:tcPr>
                  <w:tcW w:w="1823" w:type="dxa"/>
                  <w:vAlign w:val="center"/>
                </w:tcPr>
                <w:p w14:paraId="3728801B" w14:textId="77777777" w:rsidR="00000394" w:rsidRPr="0037093B" w:rsidRDefault="00000394" w:rsidP="00267B72">
                  <w:pPr>
                    <w:pStyle w:val="ListParagraph"/>
                    <w:spacing w:after="360"/>
                    <w:ind w:left="0"/>
                    <w:jc w:val="center"/>
                    <w:rPr>
                      <w:b/>
                      <w:sz w:val="24"/>
                      <w:szCs w:val="24"/>
                    </w:rPr>
                  </w:pPr>
                  <w:r w:rsidRPr="0037093B">
                    <w:rPr>
                      <w:b/>
                      <w:sz w:val="24"/>
                      <w:szCs w:val="24"/>
                    </w:rPr>
                    <w:t>Общ обем на публичните разходи</w:t>
                  </w:r>
                </w:p>
              </w:tc>
              <w:tc>
                <w:tcPr>
                  <w:tcW w:w="1164" w:type="dxa"/>
                  <w:vAlign w:val="center"/>
                </w:tcPr>
                <w:p w14:paraId="27C75EFB" w14:textId="77777777" w:rsidR="00000394" w:rsidRPr="0037093B" w:rsidRDefault="00000394" w:rsidP="00076BB2">
                  <w:pPr>
                    <w:pStyle w:val="ListParagraph"/>
                    <w:spacing w:after="360"/>
                    <w:ind w:left="0"/>
                    <w:jc w:val="center"/>
                    <w:rPr>
                      <w:b/>
                      <w:sz w:val="24"/>
                      <w:szCs w:val="24"/>
                    </w:rPr>
                  </w:pPr>
                  <w:r w:rsidRPr="0037093B">
                    <w:rPr>
                      <w:b/>
                      <w:sz w:val="24"/>
                      <w:szCs w:val="24"/>
                    </w:rPr>
                    <w:t>Лева</w:t>
                  </w:r>
                </w:p>
              </w:tc>
              <w:tc>
                <w:tcPr>
                  <w:tcW w:w="1215" w:type="dxa"/>
                  <w:vAlign w:val="center"/>
                </w:tcPr>
                <w:p w14:paraId="26938E7D" w14:textId="134A9CE9" w:rsidR="00000394" w:rsidRPr="0037093B" w:rsidRDefault="00846C52" w:rsidP="00076BB2">
                  <w:pPr>
                    <w:pStyle w:val="ListParagraph"/>
                    <w:spacing w:after="360"/>
                    <w:ind w:left="0"/>
                    <w:jc w:val="center"/>
                    <w:rPr>
                      <w:b/>
                      <w:sz w:val="24"/>
                      <w:szCs w:val="24"/>
                    </w:rPr>
                  </w:pPr>
                  <w:r w:rsidRPr="00846C52">
                    <w:rPr>
                      <w:b/>
                      <w:sz w:val="24"/>
                      <w:szCs w:val="24"/>
                    </w:rPr>
                    <w:t>1 772 000</w:t>
                  </w:r>
                </w:p>
              </w:tc>
              <w:tc>
                <w:tcPr>
                  <w:tcW w:w="2538" w:type="dxa"/>
                  <w:vAlign w:val="center"/>
                </w:tcPr>
                <w:p w14:paraId="05CE19F2" w14:textId="77777777" w:rsidR="00000394" w:rsidRPr="0037093B" w:rsidRDefault="00000394" w:rsidP="00267B72">
                  <w:pPr>
                    <w:pStyle w:val="ListParagraph"/>
                    <w:spacing w:after="360"/>
                    <w:ind w:left="0"/>
                    <w:jc w:val="center"/>
                    <w:rPr>
                      <w:b/>
                      <w:sz w:val="24"/>
                      <w:szCs w:val="24"/>
                    </w:rPr>
                  </w:pPr>
                </w:p>
              </w:tc>
              <w:tc>
                <w:tcPr>
                  <w:tcW w:w="1164" w:type="dxa"/>
                  <w:vAlign w:val="center"/>
                </w:tcPr>
                <w:p w14:paraId="4EC605CC" w14:textId="77777777" w:rsidR="00000394" w:rsidRPr="0037093B" w:rsidRDefault="00000394" w:rsidP="00076BB2">
                  <w:pPr>
                    <w:pStyle w:val="ListParagraph"/>
                    <w:spacing w:after="360"/>
                    <w:ind w:left="0"/>
                    <w:jc w:val="center"/>
                    <w:rPr>
                      <w:b/>
                      <w:sz w:val="24"/>
                      <w:szCs w:val="24"/>
                      <w:highlight w:val="yellow"/>
                    </w:rPr>
                  </w:pPr>
                </w:p>
              </w:tc>
              <w:tc>
                <w:tcPr>
                  <w:tcW w:w="1216" w:type="dxa"/>
                  <w:vAlign w:val="bottom"/>
                </w:tcPr>
                <w:p w14:paraId="1DD93562" w14:textId="77777777" w:rsidR="00000394" w:rsidRPr="0037093B" w:rsidRDefault="00000394" w:rsidP="00A73609">
                  <w:pPr>
                    <w:pStyle w:val="ListParagraph"/>
                    <w:spacing w:after="360"/>
                    <w:ind w:left="0"/>
                    <w:jc w:val="center"/>
                    <w:rPr>
                      <w:b/>
                      <w:sz w:val="24"/>
                      <w:szCs w:val="24"/>
                      <w:highlight w:val="yellow"/>
                    </w:rPr>
                  </w:pPr>
                </w:p>
              </w:tc>
            </w:tr>
            <w:tr w:rsidR="00F97F0A" w:rsidRPr="0037093B" w14:paraId="06841814" w14:textId="77777777" w:rsidTr="00D137FE">
              <w:trPr>
                <w:trHeight w:val="571"/>
              </w:trPr>
              <w:tc>
                <w:tcPr>
                  <w:tcW w:w="1823" w:type="dxa"/>
                  <w:vAlign w:val="center"/>
                </w:tcPr>
                <w:p w14:paraId="5DEA07B5" w14:textId="77777777" w:rsidR="00076BB2" w:rsidRPr="0037093B" w:rsidRDefault="00076BB2" w:rsidP="00A73609">
                  <w:pPr>
                    <w:jc w:val="center"/>
                    <w:rPr>
                      <w:b/>
                      <w:sz w:val="24"/>
                      <w:szCs w:val="24"/>
                    </w:rPr>
                  </w:pPr>
                  <w:r w:rsidRPr="0037093B">
                    <w:rPr>
                      <w:b/>
                      <w:sz w:val="24"/>
                      <w:szCs w:val="24"/>
                    </w:rPr>
                    <w:t>Общ обем на инвестициите</w:t>
                  </w:r>
                </w:p>
              </w:tc>
              <w:tc>
                <w:tcPr>
                  <w:tcW w:w="1164" w:type="dxa"/>
                  <w:vAlign w:val="center"/>
                </w:tcPr>
                <w:p w14:paraId="76369FDD" w14:textId="77777777" w:rsidR="00076BB2" w:rsidRPr="0037093B" w:rsidRDefault="00076BB2" w:rsidP="00A73609">
                  <w:pPr>
                    <w:jc w:val="center"/>
                    <w:rPr>
                      <w:sz w:val="24"/>
                      <w:szCs w:val="24"/>
                    </w:rPr>
                  </w:pPr>
                  <w:r w:rsidRPr="0037093B">
                    <w:rPr>
                      <w:b/>
                      <w:sz w:val="24"/>
                      <w:szCs w:val="24"/>
                    </w:rPr>
                    <w:t>Лева</w:t>
                  </w:r>
                </w:p>
              </w:tc>
              <w:tc>
                <w:tcPr>
                  <w:tcW w:w="1215" w:type="dxa"/>
                  <w:vAlign w:val="center"/>
                </w:tcPr>
                <w:p w14:paraId="289FDDD1" w14:textId="4E13B12B" w:rsidR="00076BB2" w:rsidRPr="0037093B" w:rsidRDefault="00846C52" w:rsidP="00A73609">
                  <w:pPr>
                    <w:jc w:val="center"/>
                    <w:rPr>
                      <w:b/>
                      <w:sz w:val="24"/>
                      <w:szCs w:val="24"/>
                    </w:rPr>
                  </w:pPr>
                  <w:r w:rsidRPr="00846C52">
                    <w:rPr>
                      <w:b/>
                      <w:sz w:val="24"/>
                      <w:szCs w:val="24"/>
                    </w:rPr>
                    <w:t>1 772 000</w:t>
                  </w:r>
                </w:p>
              </w:tc>
              <w:tc>
                <w:tcPr>
                  <w:tcW w:w="2538" w:type="dxa"/>
                  <w:vAlign w:val="center"/>
                </w:tcPr>
                <w:p w14:paraId="180D7092" w14:textId="77777777" w:rsidR="00076BB2" w:rsidRPr="0037093B" w:rsidRDefault="00076BB2" w:rsidP="00A73609">
                  <w:pPr>
                    <w:jc w:val="center"/>
                    <w:rPr>
                      <w:b/>
                      <w:sz w:val="24"/>
                      <w:szCs w:val="24"/>
                    </w:rPr>
                  </w:pPr>
                </w:p>
              </w:tc>
              <w:tc>
                <w:tcPr>
                  <w:tcW w:w="1164" w:type="dxa"/>
                  <w:vAlign w:val="center"/>
                </w:tcPr>
                <w:p w14:paraId="56A45C1E" w14:textId="77777777" w:rsidR="00076BB2" w:rsidRPr="0037093B" w:rsidRDefault="00076BB2" w:rsidP="00A73609">
                  <w:pPr>
                    <w:jc w:val="center"/>
                    <w:rPr>
                      <w:sz w:val="24"/>
                      <w:szCs w:val="24"/>
                      <w:highlight w:val="yellow"/>
                    </w:rPr>
                  </w:pPr>
                </w:p>
              </w:tc>
              <w:tc>
                <w:tcPr>
                  <w:tcW w:w="1216" w:type="dxa"/>
                  <w:vAlign w:val="center"/>
                </w:tcPr>
                <w:p w14:paraId="7A6EC4E2" w14:textId="77777777" w:rsidR="00076BB2" w:rsidRPr="0037093B" w:rsidRDefault="00076BB2" w:rsidP="00A73609">
                  <w:pPr>
                    <w:jc w:val="center"/>
                    <w:rPr>
                      <w:b/>
                      <w:sz w:val="24"/>
                      <w:szCs w:val="24"/>
                      <w:highlight w:val="yellow"/>
                    </w:rPr>
                  </w:pPr>
                </w:p>
              </w:tc>
            </w:tr>
          </w:tbl>
          <w:p w14:paraId="26949799" w14:textId="77777777" w:rsidR="002224BE" w:rsidRPr="0037093B" w:rsidRDefault="002224BE" w:rsidP="00AB08C6">
            <w:pPr>
              <w:jc w:val="both"/>
              <w:rPr>
                <w:sz w:val="24"/>
                <w:szCs w:val="24"/>
                <w:highlight w:val="yellow"/>
              </w:rPr>
            </w:pPr>
            <w:bookmarkStart w:id="15" w:name="_Toc481750860"/>
            <w:bookmarkStart w:id="16" w:name="_Toc481751355"/>
            <w:bookmarkStart w:id="17" w:name="_Toc498430172"/>
            <w:bookmarkStart w:id="18" w:name="_Toc445385315"/>
            <w:bookmarkStart w:id="19" w:name="_Toc445385569"/>
          </w:p>
          <w:bookmarkEnd w:id="15"/>
          <w:bookmarkEnd w:id="16"/>
          <w:bookmarkEnd w:id="17"/>
          <w:bookmarkEnd w:id="18"/>
          <w:bookmarkEnd w:id="19"/>
          <w:p w14:paraId="2EF1E7FF" w14:textId="1EB03C79" w:rsidR="00A15FEC" w:rsidRPr="00A15FEC" w:rsidRDefault="00A15FEC" w:rsidP="00A15FEC">
            <w:pPr>
              <w:jc w:val="both"/>
              <w:rPr>
                <w:sz w:val="24"/>
                <w:szCs w:val="24"/>
              </w:rPr>
            </w:pPr>
            <w:r w:rsidRPr="00A15FEC">
              <w:rPr>
                <w:sz w:val="24"/>
                <w:szCs w:val="24"/>
              </w:rPr>
              <w:t>Във формуляра за кандидатстване / Формуляра за мониторинг  кандидатът следва да заложи  и предостави  инфо</w:t>
            </w:r>
            <w:r>
              <w:rPr>
                <w:sz w:val="24"/>
                <w:szCs w:val="24"/>
              </w:rPr>
              <w:t xml:space="preserve">рмация по посочените индикатори, </w:t>
            </w:r>
            <w:r w:rsidRPr="00A15FEC">
              <w:rPr>
                <w:sz w:val="24"/>
                <w:szCs w:val="24"/>
              </w:rPr>
              <w:t>както следва:</w:t>
            </w:r>
          </w:p>
          <w:p w14:paraId="115DEBE5" w14:textId="0894B688" w:rsidR="00A15FEC" w:rsidRPr="007862F4" w:rsidRDefault="00A15FEC" w:rsidP="00A15FEC">
            <w:pPr>
              <w:jc w:val="both"/>
              <w:rPr>
                <w:sz w:val="24"/>
                <w:szCs w:val="24"/>
              </w:rPr>
            </w:pPr>
            <w:r w:rsidRPr="00A15FEC">
              <w:rPr>
                <w:sz w:val="24"/>
                <w:szCs w:val="24"/>
              </w:rPr>
              <w:t>-</w:t>
            </w:r>
            <w:r w:rsidRPr="00A15FEC">
              <w:rPr>
                <w:sz w:val="24"/>
                <w:szCs w:val="24"/>
              </w:rPr>
              <w:tab/>
              <w:t xml:space="preserve">В индикатор „Население, което се ползва от подобрената среда“ кандидатът следва да попълни </w:t>
            </w:r>
            <w:r w:rsidR="005B3B73">
              <w:rPr>
                <w:sz w:val="24"/>
                <w:szCs w:val="24"/>
              </w:rPr>
              <w:t xml:space="preserve">данни за </w:t>
            </w:r>
            <w:r w:rsidR="00EF3D41">
              <w:rPr>
                <w:sz w:val="24"/>
                <w:szCs w:val="24"/>
              </w:rPr>
              <w:t>процент на населението</w:t>
            </w:r>
            <w:r w:rsidR="006D5B53">
              <w:rPr>
                <w:sz w:val="24"/>
                <w:szCs w:val="24"/>
              </w:rPr>
              <w:t>, което</w:t>
            </w:r>
            <w:r w:rsidRPr="00A15FEC">
              <w:rPr>
                <w:sz w:val="24"/>
                <w:szCs w:val="24"/>
              </w:rPr>
              <w:t xml:space="preserve"> </w:t>
            </w:r>
            <w:r w:rsidR="006D5B53">
              <w:rPr>
                <w:sz w:val="24"/>
                <w:szCs w:val="24"/>
              </w:rPr>
              <w:t>ще се ползва</w:t>
            </w:r>
            <w:r w:rsidRPr="00A15FEC">
              <w:rPr>
                <w:sz w:val="24"/>
                <w:szCs w:val="24"/>
              </w:rPr>
              <w:t xml:space="preserve"> от п</w:t>
            </w:r>
            <w:r w:rsidR="007862F4">
              <w:rPr>
                <w:sz w:val="24"/>
                <w:szCs w:val="24"/>
              </w:rPr>
              <w:t>одобрената среда</w:t>
            </w:r>
            <w:r w:rsidRPr="007862F4">
              <w:rPr>
                <w:sz w:val="24"/>
                <w:szCs w:val="24"/>
              </w:rPr>
              <w:t xml:space="preserve"> </w:t>
            </w:r>
            <w:r w:rsidR="006D5B53">
              <w:rPr>
                <w:sz w:val="24"/>
                <w:szCs w:val="24"/>
              </w:rPr>
              <w:t xml:space="preserve">чрез изпълнението на проектното предложение </w:t>
            </w:r>
            <w:r w:rsidRPr="007862F4">
              <w:rPr>
                <w:sz w:val="24"/>
                <w:szCs w:val="24"/>
              </w:rPr>
              <w:t>(</w:t>
            </w:r>
            <w:r w:rsidR="00A251C2" w:rsidRPr="007862F4">
              <w:rPr>
                <w:sz w:val="24"/>
                <w:szCs w:val="24"/>
              </w:rPr>
              <w:t xml:space="preserve">по </w:t>
            </w:r>
            <w:r w:rsidR="006D5B53">
              <w:rPr>
                <w:sz w:val="24"/>
                <w:szCs w:val="24"/>
              </w:rPr>
              <w:t xml:space="preserve">последни </w:t>
            </w:r>
            <w:r w:rsidR="00A251C2" w:rsidRPr="007862F4">
              <w:rPr>
                <w:sz w:val="24"/>
                <w:szCs w:val="24"/>
              </w:rPr>
              <w:t>данни на Националния статистичес</w:t>
            </w:r>
            <w:r w:rsidR="00CE4D5A">
              <w:rPr>
                <w:sz w:val="24"/>
                <w:szCs w:val="24"/>
              </w:rPr>
              <w:t>к</w:t>
            </w:r>
            <w:r w:rsidR="00A251C2" w:rsidRPr="007862F4">
              <w:rPr>
                <w:sz w:val="24"/>
                <w:szCs w:val="24"/>
              </w:rPr>
              <w:t>и инс</w:t>
            </w:r>
            <w:r w:rsidR="00CE4D5A">
              <w:rPr>
                <w:sz w:val="24"/>
                <w:szCs w:val="24"/>
              </w:rPr>
              <w:t>т</w:t>
            </w:r>
            <w:r w:rsidR="00A251C2" w:rsidRPr="007862F4">
              <w:rPr>
                <w:sz w:val="24"/>
                <w:szCs w:val="24"/>
              </w:rPr>
              <w:t>итут</w:t>
            </w:r>
            <w:r w:rsidR="0087183F">
              <w:rPr>
                <w:sz w:val="24"/>
                <w:szCs w:val="24"/>
              </w:rPr>
              <w:t xml:space="preserve"> за броя на </w:t>
            </w:r>
            <w:r w:rsidR="0087183F" w:rsidRPr="0087183F">
              <w:rPr>
                <w:sz w:val="24"/>
                <w:szCs w:val="24"/>
              </w:rPr>
              <w:t>населението в населеното място/места, разположени на територията на община Поморие</w:t>
            </w:r>
            <w:r w:rsidR="00EF3D41">
              <w:rPr>
                <w:sz w:val="24"/>
                <w:szCs w:val="24"/>
              </w:rPr>
              <w:t>);</w:t>
            </w:r>
          </w:p>
          <w:p w14:paraId="4E6A5BB2" w14:textId="4960CD52" w:rsidR="00BB5669" w:rsidRPr="00D137FE" w:rsidRDefault="00A15FEC" w:rsidP="00CE4D5A">
            <w:pPr>
              <w:jc w:val="both"/>
              <w:rPr>
                <w:sz w:val="24"/>
                <w:szCs w:val="24"/>
              </w:rPr>
            </w:pPr>
            <w:r w:rsidRPr="007862F4">
              <w:rPr>
                <w:sz w:val="24"/>
                <w:szCs w:val="24"/>
              </w:rPr>
              <w:t>-</w:t>
            </w:r>
            <w:r w:rsidRPr="007862F4">
              <w:rPr>
                <w:sz w:val="24"/>
                <w:szCs w:val="24"/>
              </w:rPr>
              <w:tab/>
            </w:r>
            <w:r w:rsidR="00A251C2" w:rsidRPr="007862F4">
              <w:rPr>
                <w:sz w:val="24"/>
                <w:szCs w:val="24"/>
              </w:rPr>
              <w:t>В и</w:t>
            </w:r>
            <w:r w:rsidRPr="007862F4">
              <w:rPr>
                <w:sz w:val="24"/>
                <w:szCs w:val="24"/>
              </w:rPr>
              <w:t>ндикатор „Създадена/подобрена обществена инфраструктура“</w:t>
            </w:r>
            <w:r w:rsidR="0078072A">
              <w:rPr>
                <w:sz w:val="24"/>
                <w:szCs w:val="24"/>
              </w:rPr>
              <w:t xml:space="preserve"> кандидатът следва да</w:t>
            </w:r>
            <w:r w:rsidRPr="007862F4">
              <w:rPr>
                <w:sz w:val="24"/>
                <w:szCs w:val="24"/>
              </w:rPr>
              <w:t xml:space="preserve"> </w:t>
            </w:r>
            <w:r w:rsidR="0078072A">
              <w:rPr>
                <w:sz w:val="24"/>
                <w:szCs w:val="24"/>
              </w:rPr>
              <w:t>попълни</w:t>
            </w:r>
            <w:r w:rsidRPr="007862F4">
              <w:rPr>
                <w:sz w:val="24"/>
                <w:szCs w:val="24"/>
              </w:rPr>
              <w:t xml:space="preserve"> </w:t>
            </w:r>
            <w:r w:rsidR="00A251C2" w:rsidRPr="007862F4">
              <w:rPr>
                <w:sz w:val="24"/>
                <w:szCs w:val="24"/>
              </w:rPr>
              <w:t>броя на видовете обществена и</w:t>
            </w:r>
            <w:r w:rsidR="00A251C2">
              <w:rPr>
                <w:sz w:val="24"/>
                <w:szCs w:val="24"/>
              </w:rPr>
              <w:t>нфраструктура, които ще бъдат създадени/подобрени в резултат на изпълнението на проекта.</w:t>
            </w:r>
          </w:p>
        </w:tc>
      </w:tr>
    </w:tbl>
    <w:p w14:paraId="00656C75" w14:textId="77777777" w:rsidR="00AB51E5" w:rsidRDefault="00AB51E5" w:rsidP="007570DC">
      <w:pPr>
        <w:pStyle w:val="Heading1"/>
      </w:pPr>
      <w:bookmarkStart w:id="20" w:name="_Toc445385573"/>
    </w:p>
    <w:p w14:paraId="54A569CA" w14:textId="77777777" w:rsidR="00F26975" w:rsidRDefault="00A8656C" w:rsidP="007570DC">
      <w:pPr>
        <w:pStyle w:val="Heading1"/>
        <w:rPr>
          <w:color w:val="4472C4" w:themeColor="accent5"/>
        </w:rPr>
      </w:pPr>
      <w:bookmarkStart w:id="21" w:name="_Toc534292204"/>
      <w:r w:rsidRPr="007713C1">
        <w:t>8</w:t>
      </w:r>
      <w:r w:rsidRPr="001C7A55">
        <w:rPr>
          <w:color w:val="4472C4" w:themeColor="accent5"/>
        </w:rPr>
        <w:t>. Общ размер на безвъзмездната финансова помощ по процедурата:</w:t>
      </w:r>
      <w:bookmarkEnd w:id="20"/>
      <w:bookmarkEnd w:id="21"/>
    </w:p>
    <w:tbl>
      <w:tblPr>
        <w:tblStyle w:val="TableGrid1"/>
        <w:tblW w:w="9464" w:type="dxa"/>
        <w:tblInd w:w="-113" w:type="dxa"/>
        <w:tblLook w:val="04A0" w:firstRow="1" w:lastRow="0" w:firstColumn="1" w:lastColumn="0" w:noHBand="0" w:noVBand="1"/>
      </w:tblPr>
      <w:tblGrid>
        <w:gridCol w:w="9464"/>
      </w:tblGrid>
      <w:tr w:rsidR="001C7383" w14:paraId="2E928E97" w14:textId="77777777" w:rsidTr="002953B4">
        <w:tc>
          <w:tcPr>
            <w:tcW w:w="9464" w:type="dxa"/>
            <w:shd w:val="clear" w:color="auto" w:fill="auto"/>
          </w:tcPr>
          <w:p w14:paraId="0C543991" w14:textId="77777777" w:rsidR="001C7383" w:rsidRDefault="001C7383" w:rsidP="00A04337"/>
          <w:p w14:paraId="3F4F0B03" w14:textId="63D64B49" w:rsidR="001C7383" w:rsidRPr="00BE659F" w:rsidRDefault="001C7383" w:rsidP="00BE659F">
            <w:pPr>
              <w:jc w:val="both"/>
              <w:rPr>
                <w:rFonts w:ascii="Times New Roman" w:hAnsi="Times New Roman" w:cs="Times New Roman"/>
                <w:sz w:val="24"/>
                <w:szCs w:val="24"/>
              </w:rPr>
            </w:pPr>
            <w:r w:rsidRPr="00F4347A">
              <w:rPr>
                <w:rFonts w:ascii="Times New Roman" w:hAnsi="Times New Roman" w:cs="Times New Roman"/>
                <w:sz w:val="24"/>
                <w:szCs w:val="24"/>
              </w:rPr>
              <w:t xml:space="preserve">Общият размер на </w:t>
            </w:r>
            <w:r>
              <w:rPr>
                <w:rFonts w:ascii="Times New Roman" w:hAnsi="Times New Roman" w:cs="Times New Roman"/>
                <w:sz w:val="24"/>
                <w:szCs w:val="24"/>
              </w:rPr>
              <w:t>безвъзмездната финансова помощ</w:t>
            </w:r>
            <w:r w:rsidRPr="00F4347A">
              <w:rPr>
                <w:rFonts w:ascii="Times New Roman" w:hAnsi="Times New Roman" w:cs="Times New Roman"/>
                <w:sz w:val="24"/>
                <w:szCs w:val="24"/>
              </w:rPr>
              <w:t xml:space="preserve"> по </w:t>
            </w:r>
            <w:r>
              <w:rPr>
                <w:rFonts w:ascii="Times New Roman" w:hAnsi="Times New Roman" w:cs="Times New Roman"/>
                <w:sz w:val="24"/>
                <w:szCs w:val="24"/>
              </w:rPr>
              <w:t>процедурата чрез подбор  на проектни предложения по мярка 4 „</w:t>
            </w:r>
            <w:r w:rsidRPr="001C7383">
              <w:rPr>
                <w:rFonts w:ascii="Times New Roman" w:hAnsi="Times New Roman" w:cs="Times New Roman"/>
                <w:sz w:val="24"/>
                <w:szCs w:val="24"/>
              </w:rPr>
              <w:t>Инвестиции в създаването, подобряването или разширяването на всички видове малка по мащаби инфраструктура</w:t>
            </w:r>
            <w:r>
              <w:rPr>
                <w:rFonts w:ascii="Times New Roman" w:hAnsi="Times New Roman" w:cs="Times New Roman"/>
                <w:sz w:val="24"/>
                <w:szCs w:val="24"/>
              </w:rPr>
              <w:t>“</w:t>
            </w:r>
            <w:r w:rsidRPr="001C7383">
              <w:rPr>
                <w:rFonts w:ascii="Times New Roman" w:hAnsi="Times New Roman" w:cs="Times New Roman"/>
                <w:sz w:val="24"/>
                <w:szCs w:val="24"/>
              </w:rPr>
              <w:t xml:space="preserve"> </w:t>
            </w:r>
            <w:r>
              <w:rPr>
                <w:rFonts w:ascii="Times New Roman" w:hAnsi="Times New Roman" w:cs="Times New Roman"/>
                <w:sz w:val="24"/>
                <w:szCs w:val="24"/>
              </w:rPr>
              <w:t xml:space="preserve">е в размер на левовата равностойност на </w:t>
            </w:r>
            <w:r w:rsidR="007C3679" w:rsidRPr="007C3679">
              <w:rPr>
                <w:rFonts w:ascii="Times New Roman" w:hAnsi="Times New Roman" w:cs="Times New Roman"/>
                <w:sz w:val="24"/>
                <w:szCs w:val="24"/>
              </w:rPr>
              <w:t>1 772 000</w:t>
            </w:r>
            <w:r w:rsidR="007C3679">
              <w:rPr>
                <w:rFonts w:ascii="Times New Roman" w:hAnsi="Times New Roman" w:cs="Times New Roman"/>
                <w:sz w:val="24"/>
                <w:szCs w:val="24"/>
              </w:rPr>
              <w:t xml:space="preserve"> </w:t>
            </w:r>
            <w:r>
              <w:rPr>
                <w:rFonts w:ascii="Times New Roman" w:hAnsi="Times New Roman" w:cs="Times New Roman"/>
                <w:sz w:val="24"/>
                <w:szCs w:val="24"/>
              </w:rPr>
              <w:t>лв.</w:t>
            </w:r>
          </w:p>
          <w:p w14:paraId="56665332" w14:textId="77777777" w:rsidR="001C7383" w:rsidRPr="00714C9B" w:rsidRDefault="001C7383" w:rsidP="00A04337"/>
        </w:tc>
      </w:tr>
    </w:tbl>
    <w:p w14:paraId="531AD92A" w14:textId="77777777" w:rsidR="00220327" w:rsidRDefault="00220327" w:rsidP="007570DC">
      <w:pPr>
        <w:pStyle w:val="Heading1"/>
      </w:pPr>
      <w:bookmarkStart w:id="22" w:name="_Toc445385574"/>
    </w:p>
    <w:p w14:paraId="3062FBC8" w14:textId="77777777" w:rsidR="00A8656C" w:rsidRPr="007713C1" w:rsidRDefault="00404799" w:rsidP="007570DC">
      <w:pPr>
        <w:pStyle w:val="Heading1"/>
      </w:pPr>
      <w:bookmarkStart w:id="23" w:name="_Toc534292205"/>
      <w:r w:rsidRPr="007713C1">
        <w:t>9. Минимален и максимален размер на безвъзмездната финансова помощ за конкретен проект:</w:t>
      </w:r>
      <w:bookmarkEnd w:id="22"/>
      <w:bookmarkEnd w:id="23"/>
    </w:p>
    <w:p w14:paraId="6061F0A2" w14:textId="77777777" w:rsidR="00BA2E00" w:rsidRPr="007713C1" w:rsidRDefault="00404799" w:rsidP="0040479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285973E9" w14:textId="77777777" w:rsidR="00404799" w:rsidRPr="007713C1" w:rsidRDefault="00404799" w:rsidP="0040479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0AC06B31" w14:textId="77777777" w:rsidR="00404799" w:rsidRPr="007713C1" w:rsidRDefault="00404799" w:rsidP="00ED1C72">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237204">
        <w:rPr>
          <w:rFonts w:ascii="Times New Roman" w:hAnsi="Times New Roman" w:cs="Times New Roman"/>
          <w:b/>
          <w:sz w:val="24"/>
          <w:szCs w:val="24"/>
        </w:rPr>
        <w:t>10</w:t>
      </w:r>
      <w:r w:rsidR="008D7905">
        <w:rPr>
          <w:rFonts w:ascii="Times New Roman" w:hAnsi="Times New Roman" w:cs="Times New Roman"/>
          <w:b/>
          <w:sz w:val="24"/>
          <w:szCs w:val="24"/>
        </w:rPr>
        <w:t xml:space="preserve"> 000</w:t>
      </w:r>
      <w:r w:rsidRPr="007713C1">
        <w:rPr>
          <w:rFonts w:ascii="Times New Roman" w:hAnsi="Times New Roman" w:cs="Times New Roman"/>
          <w:b/>
          <w:sz w:val="24"/>
          <w:szCs w:val="24"/>
        </w:rPr>
        <w:t xml:space="preserve"> лева </w:t>
      </w:r>
    </w:p>
    <w:p w14:paraId="12DCFD76" w14:textId="77777777" w:rsidR="00404799" w:rsidRDefault="00404799" w:rsidP="00ED1C72">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237204">
        <w:rPr>
          <w:rFonts w:ascii="Times New Roman" w:hAnsi="Times New Roman" w:cs="Times New Roman"/>
          <w:b/>
          <w:sz w:val="24"/>
          <w:szCs w:val="24"/>
        </w:rPr>
        <w:t>30</w:t>
      </w:r>
      <w:r w:rsidR="008D7905">
        <w:rPr>
          <w:rFonts w:ascii="Times New Roman" w:hAnsi="Times New Roman" w:cs="Times New Roman"/>
          <w:b/>
          <w:sz w:val="24"/>
          <w:szCs w:val="24"/>
        </w:rPr>
        <w:t>0 000</w:t>
      </w:r>
      <w:r w:rsidRPr="007713C1">
        <w:rPr>
          <w:rFonts w:ascii="Times New Roman" w:hAnsi="Times New Roman" w:cs="Times New Roman"/>
          <w:b/>
          <w:sz w:val="24"/>
          <w:szCs w:val="24"/>
        </w:rPr>
        <w:t xml:space="preserve"> лева </w:t>
      </w:r>
    </w:p>
    <w:p w14:paraId="121573F1" w14:textId="7DAA826B" w:rsidR="00587C68" w:rsidRDefault="008D7905" w:rsidP="00587C68">
      <w:pPr>
        <w:pStyle w:val="ListParagraph"/>
        <w:numPr>
          <w:ilvl w:val="0"/>
          <w:numId w:val="1"/>
        </w:numPr>
        <w:pBdr>
          <w:top w:val="single" w:sz="4" w:space="1" w:color="auto"/>
          <w:left w:val="single" w:sz="4" w:space="4" w:color="auto"/>
          <w:bottom w:val="single" w:sz="4" w:space="1" w:color="auto"/>
          <w:right w:val="single" w:sz="4" w:space="4" w:color="auto"/>
        </w:pBdr>
        <w:spacing w:after="0"/>
        <w:ind w:left="357" w:hanging="357"/>
        <w:rPr>
          <w:rFonts w:ascii="Times New Roman" w:hAnsi="Times New Roman" w:cs="Times New Roman"/>
          <w:b/>
          <w:sz w:val="24"/>
          <w:szCs w:val="24"/>
        </w:rPr>
      </w:pPr>
      <w:r w:rsidRPr="008D7905">
        <w:rPr>
          <w:rFonts w:ascii="Times New Roman" w:hAnsi="Times New Roman" w:cs="Times New Roman"/>
          <w:b/>
          <w:sz w:val="24"/>
          <w:szCs w:val="24"/>
        </w:rPr>
        <w:lastRenderedPageBreak/>
        <w:t>Максималният размер на общите допустими разходи за всеки проект е в рамките на 391 166 лв.</w:t>
      </w:r>
      <w:bookmarkStart w:id="24" w:name="_Toc445385575"/>
    </w:p>
    <w:p w14:paraId="260870FC" w14:textId="77777777" w:rsidR="0073466F" w:rsidRDefault="0073466F" w:rsidP="0073466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p>
    <w:p w14:paraId="615EB259" w14:textId="5300F4B5" w:rsidR="0073466F" w:rsidRPr="0073466F" w:rsidRDefault="0073466F" w:rsidP="00E1718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Pr>
          <w:rFonts w:ascii="Times New Roman" w:hAnsi="Times New Roman" w:cs="Times New Roman"/>
          <w:b/>
          <w:sz w:val="24"/>
          <w:szCs w:val="24"/>
        </w:rPr>
        <w:t>За настоящия втори</w:t>
      </w:r>
      <w:r w:rsidRPr="0073466F">
        <w:rPr>
          <w:rFonts w:ascii="Times New Roman" w:hAnsi="Times New Roman" w:cs="Times New Roman"/>
          <w:b/>
          <w:sz w:val="24"/>
          <w:szCs w:val="24"/>
        </w:rPr>
        <w:t xml:space="preserve"> прием на проектни предложения, максималният размер на БФП е в съответствие с остатъчния финансов ресурс по процедурата в размер на </w:t>
      </w:r>
      <w:r w:rsidR="00E1718D">
        <w:rPr>
          <w:rFonts w:ascii="Times New Roman" w:hAnsi="Times New Roman" w:cs="Times New Roman"/>
          <w:b/>
          <w:sz w:val="24"/>
          <w:szCs w:val="24"/>
        </w:rPr>
        <w:t>799 015,76 лв.</w:t>
      </w:r>
    </w:p>
    <w:p w14:paraId="4CEED71E" w14:textId="77777777" w:rsidR="00E9524E" w:rsidRDefault="00E9524E" w:rsidP="007570DC">
      <w:pPr>
        <w:pStyle w:val="Heading1"/>
      </w:pPr>
    </w:p>
    <w:p w14:paraId="32A1CDA1" w14:textId="77777777" w:rsidR="00803231" w:rsidRPr="007713C1" w:rsidRDefault="00D23417" w:rsidP="007570DC">
      <w:pPr>
        <w:pStyle w:val="Heading1"/>
        <w:rPr>
          <w:sz w:val="24"/>
          <w:szCs w:val="24"/>
        </w:rPr>
      </w:pPr>
      <w:bookmarkStart w:id="25" w:name="_Toc534292206"/>
      <w:r w:rsidRPr="007713C1">
        <w:t>10. Процент на съфинансиране</w:t>
      </w:r>
      <w:r w:rsidR="00803231" w:rsidRPr="007713C1">
        <w:t>:</w:t>
      </w:r>
      <w:bookmarkEnd w:id="24"/>
      <w:bookmarkEnd w:id="25"/>
    </w:p>
    <w:p w14:paraId="38AA77D8" w14:textId="77777777" w:rsidR="00D20747" w:rsidRDefault="003C1DEB" w:rsidP="00050480">
      <w:pPr>
        <w:pStyle w:val="ListParagraph"/>
        <w:pBdr>
          <w:top w:val="single" w:sz="4" w:space="1" w:color="auto"/>
          <w:left w:val="single" w:sz="4" w:space="4" w:color="auto"/>
          <w:bottom w:val="single" w:sz="4" w:space="1" w:color="auto"/>
          <w:right w:val="single" w:sz="4" w:space="4" w:color="auto"/>
        </w:pBdr>
        <w:spacing w:after="36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Максималният интензитет на БФП е </w:t>
      </w:r>
      <w:r w:rsidR="00CB5852">
        <w:rPr>
          <w:rFonts w:ascii="Times New Roman" w:hAnsi="Times New Roman" w:cs="Times New Roman"/>
          <w:b/>
          <w:sz w:val="24"/>
          <w:szCs w:val="24"/>
        </w:rPr>
        <w:t xml:space="preserve">до </w:t>
      </w:r>
      <w:r w:rsidR="00237204">
        <w:rPr>
          <w:rFonts w:ascii="Times New Roman" w:hAnsi="Times New Roman" w:cs="Times New Roman"/>
          <w:b/>
          <w:sz w:val="24"/>
          <w:szCs w:val="24"/>
        </w:rPr>
        <w:t>10</w:t>
      </w:r>
      <w:r w:rsidR="00A23656">
        <w:rPr>
          <w:rFonts w:ascii="Times New Roman" w:hAnsi="Times New Roman" w:cs="Times New Roman"/>
          <w:b/>
          <w:sz w:val="24"/>
          <w:szCs w:val="24"/>
        </w:rPr>
        <w:t>0</w:t>
      </w:r>
      <w:r w:rsidRPr="003C1DEB">
        <w:rPr>
          <w:rFonts w:ascii="Times New Roman" w:hAnsi="Times New Roman" w:cs="Times New Roman"/>
          <w:b/>
          <w:sz w:val="24"/>
          <w:szCs w:val="24"/>
        </w:rPr>
        <w:t>%</w:t>
      </w:r>
      <w:r>
        <w:rPr>
          <w:rFonts w:ascii="Times New Roman" w:hAnsi="Times New Roman" w:cs="Times New Roman"/>
          <w:sz w:val="24"/>
          <w:szCs w:val="24"/>
        </w:rPr>
        <w:t xml:space="preserve"> от общата </w:t>
      </w:r>
      <w:r w:rsidR="00050480">
        <w:rPr>
          <w:rFonts w:ascii="Times New Roman" w:hAnsi="Times New Roman" w:cs="Times New Roman"/>
          <w:sz w:val="24"/>
          <w:szCs w:val="24"/>
        </w:rPr>
        <w:t>стойност на допустимите разходи.</w:t>
      </w:r>
    </w:p>
    <w:p w14:paraId="045A7AE6" w14:textId="19EBFA54" w:rsidR="008D7905" w:rsidRDefault="00D20747" w:rsidP="00D20747">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sz w:val="24"/>
          <w:szCs w:val="24"/>
        </w:rPr>
      </w:pPr>
      <w:r w:rsidRPr="00D20747">
        <w:rPr>
          <w:rFonts w:ascii="Times New Roman" w:hAnsi="Times New Roman" w:cs="Times New Roman"/>
          <w:sz w:val="24"/>
          <w:szCs w:val="24"/>
        </w:rPr>
        <w:t>Когато проектът генерира приходи – финансирането се определя въз</w:t>
      </w:r>
      <w:r>
        <w:rPr>
          <w:rFonts w:ascii="Times New Roman" w:hAnsi="Times New Roman" w:cs="Times New Roman"/>
          <w:sz w:val="24"/>
          <w:szCs w:val="24"/>
        </w:rPr>
        <w:t xml:space="preserve"> основа на анализ разходи-ползи (Приложение № </w:t>
      </w:r>
      <w:r w:rsidR="00E85A94">
        <w:rPr>
          <w:rFonts w:ascii="Times New Roman" w:hAnsi="Times New Roman" w:cs="Times New Roman"/>
          <w:sz w:val="24"/>
          <w:szCs w:val="24"/>
        </w:rPr>
        <w:t>9.1/9</w:t>
      </w:r>
      <w:r>
        <w:rPr>
          <w:rFonts w:ascii="Times New Roman" w:hAnsi="Times New Roman" w:cs="Times New Roman"/>
          <w:sz w:val="24"/>
          <w:szCs w:val="24"/>
        </w:rPr>
        <w:t>.2.)</w:t>
      </w:r>
    </w:p>
    <w:p w14:paraId="73490479" w14:textId="77777777" w:rsidR="00AB5235" w:rsidRDefault="00AB5235" w:rsidP="00BF3F7C">
      <w:pPr>
        <w:pStyle w:val="Heading1"/>
      </w:pPr>
      <w:bookmarkStart w:id="26" w:name="_Toc445385576"/>
      <w:bookmarkStart w:id="27" w:name="_Toc534292207"/>
    </w:p>
    <w:p w14:paraId="3216E4F2" w14:textId="36909592" w:rsidR="0007516F" w:rsidRPr="0007516F" w:rsidRDefault="009B1A2D" w:rsidP="00BF3F7C">
      <w:pPr>
        <w:pStyle w:val="Heading1"/>
      </w:pPr>
      <w:r w:rsidRPr="007713C1">
        <w:t>11. Допустими кандидати:</w:t>
      </w:r>
      <w:bookmarkEnd w:id="26"/>
      <w:bookmarkEnd w:id="27"/>
    </w:p>
    <w:tbl>
      <w:tblPr>
        <w:tblStyle w:val="TableGrid"/>
        <w:tblW w:w="9640" w:type="dxa"/>
        <w:tblInd w:w="-147" w:type="dxa"/>
        <w:tblLook w:val="04A0" w:firstRow="1" w:lastRow="0" w:firstColumn="1" w:lastColumn="0" w:noHBand="0" w:noVBand="1"/>
      </w:tblPr>
      <w:tblGrid>
        <w:gridCol w:w="9640"/>
      </w:tblGrid>
      <w:tr w:rsidR="00822571" w:rsidRPr="007713C1" w14:paraId="112A2C47" w14:textId="77777777" w:rsidTr="00832B41">
        <w:tc>
          <w:tcPr>
            <w:tcW w:w="9640" w:type="dxa"/>
          </w:tcPr>
          <w:p w14:paraId="193ACF53" w14:textId="5C67634F" w:rsidR="003C1FA4" w:rsidRDefault="00EA2CBC" w:rsidP="001C50FC">
            <w:pPr>
              <w:pStyle w:val="ListParagraph"/>
              <w:spacing w:after="360" w:line="276" w:lineRule="auto"/>
              <w:ind w:left="0"/>
              <w:jc w:val="both"/>
              <w:rPr>
                <w:b/>
                <w:sz w:val="24"/>
                <w:szCs w:val="24"/>
              </w:rPr>
            </w:pPr>
            <w:r>
              <w:rPr>
                <w:b/>
                <w:sz w:val="24"/>
                <w:szCs w:val="24"/>
              </w:rPr>
              <w:t>Допустими кандидати по настоящата процедура са:</w:t>
            </w:r>
          </w:p>
          <w:p w14:paraId="5D16D5D5" w14:textId="4C139BEF" w:rsidR="002052A9" w:rsidRDefault="002052A9" w:rsidP="00824C2B">
            <w:pPr>
              <w:pStyle w:val="ListParagraph"/>
              <w:ind w:left="0"/>
              <w:jc w:val="both"/>
              <w:rPr>
                <w:sz w:val="24"/>
                <w:szCs w:val="24"/>
              </w:rPr>
            </w:pPr>
          </w:p>
          <w:p w14:paraId="3DC39574" w14:textId="7DD3A619" w:rsidR="00824C2B" w:rsidRPr="00824C2B" w:rsidRDefault="00824C2B" w:rsidP="00824C2B">
            <w:pPr>
              <w:pStyle w:val="ListParagraph"/>
              <w:numPr>
                <w:ilvl w:val="0"/>
                <w:numId w:val="18"/>
              </w:numPr>
              <w:spacing w:before="120"/>
              <w:jc w:val="both"/>
              <w:rPr>
                <w:sz w:val="24"/>
                <w:szCs w:val="24"/>
              </w:rPr>
            </w:pPr>
            <w:r w:rsidRPr="00824C2B">
              <w:rPr>
                <w:sz w:val="24"/>
                <w:szCs w:val="24"/>
              </w:rPr>
              <w:t>Община Поморие за в</w:t>
            </w:r>
            <w:r>
              <w:rPr>
                <w:sz w:val="24"/>
                <w:szCs w:val="24"/>
              </w:rPr>
              <w:t xml:space="preserve">сички допустими дейности по </w:t>
            </w:r>
            <w:r w:rsidRPr="00824C2B">
              <w:rPr>
                <w:sz w:val="24"/>
                <w:szCs w:val="24"/>
              </w:rPr>
              <w:t>мярката</w:t>
            </w:r>
          </w:p>
          <w:p w14:paraId="5A913724" w14:textId="68192CC4" w:rsidR="00824C2B" w:rsidRPr="00824C2B" w:rsidRDefault="00824C2B" w:rsidP="00824C2B">
            <w:pPr>
              <w:pStyle w:val="ListParagraph"/>
              <w:numPr>
                <w:ilvl w:val="0"/>
                <w:numId w:val="18"/>
              </w:numPr>
              <w:spacing w:before="120"/>
              <w:jc w:val="both"/>
              <w:rPr>
                <w:sz w:val="24"/>
                <w:szCs w:val="24"/>
              </w:rPr>
            </w:pPr>
            <w:r w:rsidRPr="00824C2B">
              <w:rPr>
                <w:sz w:val="24"/>
                <w:szCs w:val="24"/>
              </w:rPr>
              <w:t>Юридически лица с нестопанска цел за дейности, свързани със социалната и</w:t>
            </w:r>
            <w:r>
              <w:rPr>
                <w:sz w:val="24"/>
                <w:szCs w:val="24"/>
              </w:rPr>
              <w:t xml:space="preserve"> </w:t>
            </w:r>
            <w:r w:rsidRPr="00824C2B">
              <w:rPr>
                <w:sz w:val="24"/>
                <w:szCs w:val="24"/>
              </w:rPr>
              <w:t>спортната инфраструктура и културния живот;</w:t>
            </w:r>
          </w:p>
          <w:p w14:paraId="754B14BC" w14:textId="263E21FC" w:rsidR="00D20747" w:rsidRPr="00D20747" w:rsidRDefault="00824C2B" w:rsidP="00D20747">
            <w:pPr>
              <w:pStyle w:val="ListParagraph"/>
              <w:numPr>
                <w:ilvl w:val="0"/>
                <w:numId w:val="18"/>
              </w:numPr>
              <w:spacing w:before="120"/>
              <w:jc w:val="both"/>
              <w:rPr>
                <w:sz w:val="24"/>
                <w:szCs w:val="24"/>
              </w:rPr>
            </w:pPr>
            <w:r w:rsidRPr="00824C2B">
              <w:rPr>
                <w:sz w:val="24"/>
                <w:szCs w:val="24"/>
              </w:rPr>
              <w:t>Читалища за дейн</w:t>
            </w:r>
            <w:r w:rsidR="00D20747">
              <w:rPr>
                <w:sz w:val="24"/>
                <w:szCs w:val="24"/>
              </w:rPr>
              <w:t>ости свързани с културния живот.</w:t>
            </w:r>
          </w:p>
          <w:p w14:paraId="59F72C8B" w14:textId="77777777" w:rsidR="00D20747" w:rsidRPr="00D20747" w:rsidRDefault="00D20747" w:rsidP="00D20747">
            <w:pPr>
              <w:spacing w:before="120"/>
              <w:jc w:val="both"/>
              <w:rPr>
                <w:sz w:val="24"/>
                <w:szCs w:val="24"/>
              </w:rPr>
            </w:pPr>
          </w:p>
          <w:p w14:paraId="6235A784" w14:textId="428D8388" w:rsidR="0007516F" w:rsidRDefault="0007516F" w:rsidP="002953B4">
            <w:pPr>
              <w:widowControl w:val="0"/>
              <w:shd w:val="clear" w:color="auto" w:fill="F2F2F2" w:themeFill="background1" w:themeFillShade="F2"/>
              <w:autoSpaceDE w:val="0"/>
              <w:autoSpaceDN w:val="0"/>
              <w:adjustRightInd w:val="0"/>
              <w:spacing w:before="100" w:beforeAutospacing="1"/>
              <w:contextualSpacing/>
              <w:jc w:val="both"/>
              <w:rPr>
                <w:rFonts w:eastAsia="Calibri"/>
                <w:b/>
                <w:sz w:val="24"/>
                <w:szCs w:val="24"/>
              </w:rPr>
            </w:pPr>
            <w:r w:rsidRPr="00A11AC1">
              <w:rPr>
                <w:rFonts w:eastAsia="Calibri"/>
                <w:b/>
                <w:sz w:val="24"/>
                <w:szCs w:val="24"/>
              </w:rPr>
              <w:t>ВАЖНО:</w:t>
            </w:r>
          </w:p>
          <w:p w14:paraId="17E39725" w14:textId="55923BB3" w:rsidR="00A11AC1" w:rsidRPr="002953B4" w:rsidRDefault="0007516F" w:rsidP="002953B4">
            <w:pPr>
              <w:pStyle w:val="ListParagraph"/>
              <w:shd w:val="clear" w:color="auto" w:fill="F2F2F2" w:themeFill="background1" w:themeFillShade="F2"/>
              <w:ind w:left="0"/>
              <w:contextualSpacing w:val="0"/>
              <w:jc w:val="both"/>
              <w:rPr>
                <w:rFonts w:eastAsia="Calibri"/>
                <w:b/>
                <w:sz w:val="24"/>
                <w:szCs w:val="24"/>
              </w:rPr>
            </w:pPr>
            <w:r w:rsidRPr="00A11AC1">
              <w:rPr>
                <w:rFonts w:eastAsia="Calibri"/>
                <w:b/>
                <w:sz w:val="24"/>
                <w:szCs w:val="24"/>
              </w:rPr>
              <w:t xml:space="preserve">В </w:t>
            </w:r>
            <w:r>
              <w:rPr>
                <w:rFonts w:eastAsia="Calibri"/>
                <w:b/>
                <w:sz w:val="24"/>
                <w:szCs w:val="24"/>
              </w:rPr>
              <w:t xml:space="preserve">Раздел </w:t>
            </w:r>
            <w:r w:rsidR="00BE42E8">
              <w:rPr>
                <w:rFonts w:eastAsia="Calibri"/>
                <w:b/>
                <w:sz w:val="24"/>
                <w:szCs w:val="24"/>
              </w:rPr>
              <w:t>24</w:t>
            </w:r>
            <w:r w:rsidRPr="00A11AC1">
              <w:rPr>
                <w:rFonts w:eastAsia="Calibri"/>
                <w:b/>
                <w:sz w:val="24"/>
                <w:szCs w:val="24"/>
              </w:rPr>
              <w:t xml:space="preserve">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14:paraId="7C7CE408" w14:textId="77777777" w:rsidR="005B3B73" w:rsidRDefault="005B3B73" w:rsidP="00D137FE">
      <w:bookmarkStart w:id="28" w:name="_Toc504755043"/>
      <w:bookmarkStart w:id="29" w:name="_Toc445385579"/>
    </w:p>
    <w:p w14:paraId="1F2F5911" w14:textId="1F8CED6B" w:rsidR="00220327" w:rsidRDefault="005B3B73" w:rsidP="00BF3F7C">
      <w:pPr>
        <w:pStyle w:val="Heading2"/>
      </w:pPr>
      <w:bookmarkStart w:id="30" w:name="_Toc534292208"/>
      <w:r>
        <w:t>11.1. Критерии за допустимост на кандидатите:</w:t>
      </w:r>
      <w:bookmarkEnd w:id="28"/>
      <w:bookmarkEnd w:id="30"/>
    </w:p>
    <w:p w14:paraId="569ACE90" w14:textId="2E126F2C" w:rsidR="001908BE" w:rsidRDefault="001908BE"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1908BE">
        <w:rPr>
          <w:rFonts w:ascii="Times New Roman" w:eastAsia="Times New Roman" w:hAnsi="Times New Roman" w:cs="Times New Roman"/>
          <w:sz w:val="24"/>
          <w:szCs w:val="24"/>
          <w:lang w:eastAsia="bg-BG"/>
        </w:rPr>
        <w:t xml:space="preserve">Кандидатът/получателят на финансова помощ следва да има седалище и адрес на управление на територията на действие на МИГ </w:t>
      </w:r>
      <w:r>
        <w:rPr>
          <w:rFonts w:ascii="Times New Roman" w:eastAsia="Times New Roman" w:hAnsi="Times New Roman" w:cs="Times New Roman"/>
          <w:sz w:val="24"/>
          <w:szCs w:val="24"/>
          <w:lang w:eastAsia="bg-BG"/>
        </w:rPr>
        <w:t>Поморие</w:t>
      </w:r>
      <w:r w:rsidRPr="001908BE">
        <w:rPr>
          <w:rFonts w:ascii="Times New Roman" w:eastAsia="Times New Roman" w:hAnsi="Times New Roman" w:cs="Times New Roman"/>
          <w:sz w:val="24"/>
          <w:szCs w:val="24"/>
          <w:lang w:eastAsia="bg-BG"/>
        </w:rPr>
        <w:t xml:space="preserve"> и да осъществява дейностите по проекта на територията на МИГ </w:t>
      </w:r>
      <w:r>
        <w:rPr>
          <w:rFonts w:ascii="Times New Roman" w:eastAsia="Times New Roman" w:hAnsi="Times New Roman" w:cs="Times New Roman"/>
          <w:sz w:val="24"/>
          <w:szCs w:val="24"/>
          <w:lang w:eastAsia="bg-BG"/>
        </w:rPr>
        <w:t>Поморие.</w:t>
      </w:r>
    </w:p>
    <w:p w14:paraId="0BF354CA" w14:textId="77777777" w:rsidR="001908BE" w:rsidRDefault="001908BE"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7866500F" w14:textId="77777777" w:rsidR="000806CA" w:rsidRDefault="000806CA"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601FCA9F" w14:textId="0B1C746C" w:rsidR="0042350F" w:rsidRDefault="000806CA" w:rsidP="000806C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216DF0">
        <w:rPr>
          <w:rFonts w:ascii="Times New Roman" w:eastAsia="Times New Roman" w:hAnsi="Times New Roman" w:cs="Times New Roman"/>
          <w:sz w:val="24"/>
          <w:szCs w:val="24"/>
          <w:lang w:eastAsia="bg-BG"/>
        </w:rPr>
        <w:lastRenderedPageBreak/>
        <w:t xml:space="preserve">ВАЖНО! Към момента на кандидатстването кандидат/получател на помощ и/или негов законен или упълномощен представител следва да не попада в някое от обстоятелствата за отстраняване, описани в Декларация за липса на основания за </w:t>
      </w:r>
      <w:r w:rsidRPr="00E155D5">
        <w:rPr>
          <w:rFonts w:ascii="Times New Roman" w:eastAsia="Times New Roman" w:hAnsi="Times New Roman" w:cs="Times New Roman"/>
          <w:sz w:val="24"/>
          <w:szCs w:val="24"/>
          <w:lang w:eastAsia="bg-BG"/>
        </w:rPr>
        <w:t>отстраняване (</w:t>
      </w:r>
      <w:r w:rsidR="00A10B0D">
        <w:rPr>
          <w:rFonts w:ascii="Times New Roman" w:eastAsia="Times New Roman" w:hAnsi="Times New Roman" w:cs="Times New Roman"/>
          <w:sz w:val="24"/>
          <w:szCs w:val="24"/>
          <w:lang w:eastAsia="bg-BG"/>
        </w:rPr>
        <w:t>Приложение 5</w:t>
      </w:r>
      <w:r w:rsidRPr="00E155D5">
        <w:rPr>
          <w:rFonts w:ascii="Times New Roman" w:eastAsia="Times New Roman" w:hAnsi="Times New Roman" w:cs="Times New Roman"/>
          <w:sz w:val="24"/>
          <w:szCs w:val="24"/>
          <w:lang w:eastAsia="bg-BG"/>
        </w:rPr>
        <w:t>).</w:t>
      </w:r>
      <w:r w:rsidRPr="00E155D5">
        <w:rPr>
          <w:rFonts w:ascii="Times New Roman" w:eastAsia="Times New Roman" w:hAnsi="Times New Roman" w:cs="Times New Roman"/>
          <w:color w:val="FF0000"/>
          <w:sz w:val="24"/>
          <w:szCs w:val="24"/>
          <w:lang w:eastAsia="bg-BG"/>
        </w:rPr>
        <w:t xml:space="preserve"> </w:t>
      </w:r>
      <w:r w:rsidRPr="002748BE">
        <w:rPr>
          <w:rFonts w:ascii="Times New Roman" w:eastAsia="Times New Roman" w:hAnsi="Times New Roman" w:cs="Times New Roman"/>
          <w:sz w:val="24"/>
          <w:szCs w:val="24"/>
          <w:lang w:eastAsia="bg-BG"/>
        </w:rPr>
        <w:t xml:space="preserve">Декларацията следва да бъде попълнена и подписана от всички лица с право да представляват </w:t>
      </w:r>
      <w:r w:rsidRPr="00216DF0">
        <w:rPr>
          <w:rFonts w:ascii="Times New Roman" w:eastAsia="Times New Roman" w:hAnsi="Times New Roman" w:cs="Times New Roman"/>
          <w:sz w:val="24"/>
          <w:szCs w:val="24"/>
          <w:lang w:eastAsia="bg-BG"/>
        </w:rPr>
        <w:t>кандидат</w:t>
      </w:r>
      <w:r w:rsidR="008C1F6F">
        <w:rPr>
          <w:rFonts w:ascii="Times New Roman" w:eastAsia="Times New Roman" w:hAnsi="Times New Roman" w:cs="Times New Roman"/>
          <w:sz w:val="24"/>
          <w:szCs w:val="24"/>
          <w:lang w:eastAsia="bg-BG"/>
        </w:rPr>
        <w:t>а</w:t>
      </w:r>
      <w:r w:rsidRPr="00216DF0">
        <w:rPr>
          <w:rFonts w:ascii="Times New Roman" w:eastAsia="Times New Roman" w:hAnsi="Times New Roman" w:cs="Times New Roman"/>
          <w:sz w:val="24"/>
          <w:szCs w:val="24"/>
          <w:lang w:eastAsia="bg-BG"/>
        </w:rPr>
        <w:t xml:space="preserve"> (независимо от това дали го представляват заедно и/или поотделно, и/или по друг начин). Декларираните обстоятелства подлежат на проверки от Комисията за подбор на проектни предложения и от ДФЗ!</w:t>
      </w:r>
    </w:p>
    <w:p w14:paraId="3936AF44" w14:textId="52D4066C" w:rsidR="00CD0349" w:rsidRDefault="00CD0349" w:rsidP="00CD034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ВАЖНО! </w:t>
      </w:r>
      <w:r w:rsidRPr="00CD0349">
        <w:rPr>
          <w:rFonts w:ascii="Times New Roman" w:eastAsia="Times New Roman" w:hAnsi="Times New Roman" w:cs="Times New Roman"/>
          <w:sz w:val="24"/>
          <w:szCs w:val="24"/>
          <w:lang w:eastAsia="bg-BG"/>
        </w:rPr>
        <w:t xml:space="preserve">Към момента на кандидатстването кандидат/получател на помощ и/или негов законен или упълномощен представител следва да не попада в някое от обстоятелствата за </w:t>
      </w:r>
      <w:r w:rsidR="00372DBF">
        <w:rPr>
          <w:rFonts w:ascii="Times New Roman" w:eastAsia="Times New Roman" w:hAnsi="Times New Roman" w:cs="Times New Roman"/>
          <w:sz w:val="24"/>
          <w:szCs w:val="24"/>
          <w:lang w:eastAsia="bg-BG"/>
        </w:rPr>
        <w:t>свързаност</w:t>
      </w:r>
      <w:r w:rsidRPr="00CD0349">
        <w:rPr>
          <w:rFonts w:ascii="Times New Roman" w:eastAsia="Times New Roman" w:hAnsi="Times New Roman" w:cs="Times New Roman"/>
          <w:sz w:val="24"/>
          <w:szCs w:val="24"/>
          <w:lang w:eastAsia="bg-BG"/>
        </w:rPr>
        <w:t xml:space="preserve">, описани в </w:t>
      </w:r>
      <w:r>
        <w:rPr>
          <w:rFonts w:ascii="Times New Roman" w:eastAsia="Times New Roman" w:hAnsi="Times New Roman" w:cs="Times New Roman"/>
          <w:sz w:val="24"/>
          <w:szCs w:val="24"/>
          <w:lang w:eastAsia="bg-BG"/>
        </w:rPr>
        <w:t>ДЕКЛАРАЦИЯ с</w:t>
      </w:r>
      <w:r w:rsidRPr="00CD0349">
        <w:rPr>
          <w:rFonts w:ascii="Times New Roman" w:eastAsia="Times New Roman" w:hAnsi="Times New Roman" w:cs="Times New Roman"/>
          <w:sz w:val="24"/>
          <w:szCs w:val="24"/>
          <w:lang w:eastAsia="bg-BG"/>
        </w:rPr>
        <w:t xml:space="preserve">ъгласно Заповед № 09-647 от 03.07.2019 г. на Ръководителя на УО на ПРСР </w:t>
      </w:r>
      <w:r>
        <w:rPr>
          <w:rFonts w:ascii="Times New Roman" w:eastAsia="Times New Roman" w:hAnsi="Times New Roman" w:cs="Times New Roman"/>
          <w:sz w:val="24"/>
          <w:szCs w:val="24"/>
          <w:lang w:eastAsia="bg-BG"/>
        </w:rPr>
        <w:t>(Приложение № 14</w:t>
      </w:r>
      <w:r w:rsidRPr="00CD0349">
        <w:rPr>
          <w:rFonts w:ascii="Times New Roman" w:eastAsia="Times New Roman" w:hAnsi="Times New Roman" w:cs="Times New Roman"/>
          <w:sz w:val="24"/>
          <w:szCs w:val="24"/>
          <w:lang w:eastAsia="bg-BG"/>
        </w:rPr>
        <w:t xml:space="preserve">). </w:t>
      </w:r>
      <w:r w:rsidR="00ED62B9" w:rsidRPr="00ED62B9">
        <w:rPr>
          <w:rFonts w:ascii="Times New Roman" w:eastAsia="Times New Roman" w:hAnsi="Times New Roman" w:cs="Times New Roman"/>
          <w:b/>
          <w:sz w:val="24"/>
          <w:szCs w:val="24"/>
          <w:lang w:eastAsia="bg-BG"/>
        </w:rPr>
        <w:t>Декларацията е неприложима за публично-правните организации.</w:t>
      </w:r>
      <w:r w:rsidR="00ED62B9">
        <w:rPr>
          <w:rFonts w:ascii="Times New Roman" w:eastAsia="Times New Roman" w:hAnsi="Times New Roman" w:cs="Times New Roman"/>
          <w:sz w:val="24"/>
          <w:szCs w:val="24"/>
          <w:lang w:eastAsia="bg-BG"/>
        </w:rPr>
        <w:t xml:space="preserve"> </w:t>
      </w:r>
      <w:r w:rsidRPr="00CD0349">
        <w:rPr>
          <w:rFonts w:ascii="Times New Roman" w:eastAsia="Times New Roman" w:hAnsi="Times New Roman" w:cs="Times New Roman"/>
          <w:sz w:val="24"/>
          <w:szCs w:val="24"/>
          <w:lang w:eastAsia="bg-BG"/>
        </w:rPr>
        <w:t xml:space="preserve">Декларацията следва да бъде попълнена и подписана от всички лица с право да представляват кандидата (независимо от това дали го представляват заедно и/или поотделно, и/или по друг начин). </w:t>
      </w:r>
    </w:p>
    <w:p w14:paraId="1F02DEB8" w14:textId="3EAD14C5" w:rsidR="000806CA" w:rsidRPr="00FA4524" w:rsidRDefault="000806CA" w:rsidP="000806C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14:paraId="300A98D9" w14:textId="77777777" w:rsidR="00F07C46" w:rsidRDefault="00F07C46" w:rsidP="00561FFC">
      <w:pPr>
        <w:pStyle w:val="Heading1"/>
      </w:pPr>
      <w:bookmarkStart w:id="31" w:name="_Toc534292209"/>
    </w:p>
    <w:p w14:paraId="19F15E5C" w14:textId="77777777" w:rsidR="006F0162" w:rsidRPr="007713C1" w:rsidRDefault="006F0162" w:rsidP="00561FFC">
      <w:pPr>
        <w:pStyle w:val="Heading1"/>
      </w:pPr>
      <w:r w:rsidRPr="007713C1">
        <w:t>12. Допустими партньори</w:t>
      </w:r>
      <w:bookmarkEnd w:id="31"/>
      <w:r w:rsidRPr="007713C1">
        <w:t xml:space="preserve"> </w:t>
      </w:r>
      <w:bookmarkEnd w:id="29"/>
    </w:p>
    <w:tbl>
      <w:tblPr>
        <w:tblStyle w:val="TableGrid"/>
        <w:tblW w:w="0" w:type="auto"/>
        <w:tblLook w:val="04A0" w:firstRow="1" w:lastRow="0" w:firstColumn="1" w:lastColumn="0" w:noHBand="0" w:noVBand="1"/>
      </w:tblPr>
      <w:tblGrid>
        <w:gridCol w:w="9346"/>
      </w:tblGrid>
      <w:tr w:rsidR="000B6C99" w:rsidRPr="007713C1" w14:paraId="18F916DF" w14:textId="77777777" w:rsidTr="007E0C06">
        <w:tc>
          <w:tcPr>
            <w:tcW w:w="9496" w:type="dxa"/>
          </w:tcPr>
          <w:p w14:paraId="5BBDBC99" w14:textId="77777777" w:rsidR="007E0C06" w:rsidRPr="002052A9" w:rsidRDefault="00561FFC" w:rsidP="002052A9">
            <w:pPr>
              <w:jc w:val="both"/>
              <w:rPr>
                <w:sz w:val="24"/>
                <w:szCs w:val="24"/>
              </w:rPr>
            </w:pPr>
            <w:r w:rsidRPr="004C103A">
              <w:rPr>
                <w:sz w:val="24"/>
                <w:szCs w:val="24"/>
              </w:rPr>
              <w:t>Неприложимо.</w:t>
            </w:r>
          </w:p>
        </w:tc>
      </w:tr>
    </w:tbl>
    <w:p w14:paraId="509E5276" w14:textId="77777777" w:rsidR="00A04337" w:rsidRDefault="00A04337" w:rsidP="007A0799">
      <w:pPr>
        <w:pStyle w:val="Heading1"/>
      </w:pPr>
      <w:bookmarkStart w:id="32" w:name="_Toc445385583"/>
    </w:p>
    <w:p w14:paraId="41E67D48" w14:textId="3A00ED59" w:rsidR="00A04337" w:rsidRPr="007A0799" w:rsidRDefault="00A75A73" w:rsidP="007A0799">
      <w:pPr>
        <w:pStyle w:val="Heading1"/>
      </w:pPr>
      <w:bookmarkStart w:id="33" w:name="_Toc534292210"/>
      <w:r w:rsidRPr="007713C1">
        <w:t>13. Дейности, допустими за финансиране:</w:t>
      </w:r>
      <w:bookmarkEnd w:id="32"/>
      <w:bookmarkEnd w:id="33"/>
    </w:p>
    <w:p w14:paraId="30E4E2F0" w14:textId="41A38482" w:rsidR="00A04337" w:rsidRPr="00742C46" w:rsidRDefault="00A04337" w:rsidP="002953B4">
      <w:pPr>
        <w:pStyle w:val="Heading2"/>
      </w:pPr>
      <w:bookmarkStart w:id="34" w:name="_Toc504755047"/>
      <w:bookmarkStart w:id="35" w:name="_Toc534292211"/>
      <w:r w:rsidRPr="00742C46">
        <w:t>13.1: Допустими дейности:</w:t>
      </w:r>
      <w:bookmarkEnd w:id="34"/>
      <w:bookmarkEnd w:id="35"/>
    </w:p>
    <w:tbl>
      <w:tblPr>
        <w:tblStyle w:val="TableGrid"/>
        <w:tblW w:w="0" w:type="auto"/>
        <w:tblLook w:val="04A0" w:firstRow="1" w:lastRow="0" w:firstColumn="1" w:lastColumn="0" w:noHBand="0" w:noVBand="1"/>
      </w:tblPr>
      <w:tblGrid>
        <w:gridCol w:w="9346"/>
      </w:tblGrid>
      <w:tr w:rsidR="003C2424" w:rsidRPr="007713C1" w14:paraId="5E8BF66B" w14:textId="77777777" w:rsidTr="003C2424">
        <w:tc>
          <w:tcPr>
            <w:tcW w:w="9496" w:type="dxa"/>
          </w:tcPr>
          <w:p w14:paraId="3EF68FA4" w14:textId="77777777" w:rsidR="00AA6168" w:rsidRDefault="00561FFC" w:rsidP="002C33B3">
            <w:pPr>
              <w:spacing w:before="120" w:after="120"/>
              <w:jc w:val="both"/>
              <w:rPr>
                <w:sz w:val="24"/>
                <w:szCs w:val="24"/>
              </w:rPr>
            </w:pPr>
            <w:r>
              <w:rPr>
                <w:sz w:val="24"/>
                <w:szCs w:val="24"/>
              </w:rPr>
              <w:t>По мярка</w:t>
            </w:r>
            <w:r w:rsidRPr="00561FFC">
              <w:rPr>
                <w:sz w:val="24"/>
                <w:szCs w:val="24"/>
              </w:rPr>
              <w:t xml:space="preserve"> „</w:t>
            </w:r>
            <w:r w:rsidR="002052A9" w:rsidRPr="00281DFE">
              <w:rPr>
                <w:sz w:val="24"/>
                <w:szCs w:val="24"/>
              </w:rPr>
              <w:t>Инвестиции в създаването, подобряването или разширяването на всички видове малка по мащаби инфраструктура</w:t>
            </w:r>
            <w:r w:rsidRPr="00561FFC">
              <w:rPr>
                <w:sz w:val="24"/>
                <w:szCs w:val="24"/>
              </w:rPr>
              <w:t xml:space="preserve">“ </w:t>
            </w:r>
            <w:r w:rsidR="002052A9" w:rsidRPr="002052A9">
              <w:rPr>
                <w:sz w:val="24"/>
                <w:szCs w:val="24"/>
              </w:rPr>
              <w:t>се предоставя финансова помощ за следните</w:t>
            </w:r>
            <w:r w:rsidR="002052A9">
              <w:rPr>
                <w:sz w:val="24"/>
                <w:szCs w:val="24"/>
              </w:rPr>
              <w:t xml:space="preserve"> </w:t>
            </w:r>
            <w:r w:rsidR="002052A9" w:rsidRPr="002052A9">
              <w:rPr>
                <w:sz w:val="24"/>
                <w:szCs w:val="24"/>
              </w:rPr>
              <w:t>допустими за подпомагане дейнос</w:t>
            </w:r>
            <w:r w:rsidR="002052A9">
              <w:rPr>
                <w:sz w:val="24"/>
                <w:szCs w:val="24"/>
              </w:rPr>
              <w:t>ти</w:t>
            </w:r>
            <w:r w:rsidRPr="00561FFC">
              <w:rPr>
                <w:sz w:val="24"/>
                <w:szCs w:val="24"/>
              </w:rPr>
              <w:t>:</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44"/>
              <w:gridCol w:w="6"/>
            </w:tblGrid>
            <w:tr w:rsidR="00AA6168" w14:paraId="4283FB16" w14:textId="77777777" w:rsidTr="00A54818">
              <w:trPr>
                <w:trHeight w:val="870"/>
              </w:trPr>
              <w:tc>
                <w:tcPr>
                  <w:tcW w:w="9044"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9044"/>
                  </w:tblGrid>
                  <w:tr w:rsidR="00CE5FAA" w:rsidRPr="00CE5FAA" w14:paraId="53EE5420" w14:textId="77777777" w:rsidTr="004B1C09">
                    <w:tc>
                      <w:tcPr>
                        <w:tcW w:w="0" w:type="auto"/>
                      </w:tcPr>
                      <w:p w14:paraId="13F1660A" w14:textId="1CD43C76" w:rsidR="00CE5FAA" w:rsidRPr="001C3491" w:rsidRDefault="001C3491" w:rsidP="004C103A">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w:t>
                        </w:r>
                        <w:r w:rsidR="00CE5FAA" w:rsidRPr="001C3491">
                          <w:rPr>
                            <w:rFonts w:ascii="Times New Roman" w:hAnsi="Times New Roman" w:cs="Times New Roman"/>
                            <w:color w:val="000000"/>
                            <w:sz w:val="24"/>
                            <w:szCs w:val="24"/>
                          </w:rPr>
                          <w:t>Строителство, реконструкция и/или рехаб</w:t>
                        </w:r>
                        <w:r w:rsidR="004C103A" w:rsidRPr="001C3491">
                          <w:rPr>
                            <w:rFonts w:ascii="Times New Roman" w:hAnsi="Times New Roman" w:cs="Times New Roman"/>
                            <w:color w:val="000000"/>
                            <w:sz w:val="24"/>
                            <w:szCs w:val="24"/>
                          </w:rPr>
                          <w:t xml:space="preserve">илитация на нови и съществуващи </w:t>
                        </w:r>
                        <w:r w:rsidR="00CE5FAA" w:rsidRPr="001C3491">
                          <w:rPr>
                            <w:rFonts w:ascii="Times New Roman" w:hAnsi="Times New Roman" w:cs="Times New Roman"/>
                            <w:color w:val="000000"/>
                            <w:sz w:val="24"/>
                            <w:szCs w:val="24"/>
                          </w:rPr>
                          <w:t xml:space="preserve">общински пътища, улици, тротоари, и съоръженията и принадлежностите към тях; </w:t>
                        </w:r>
                      </w:p>
                      <w:p w14:paraId="2EE450D8"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 </w:t>
                        </w:r>
                      </w:p>
                      <w:p w14:paraId="07FE45B0"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lastRenderedPageBreak/>
                          <w:t xml:space="preserve">•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включително транспортни средства; </w:t>
                        </w:r>
                      </w:p>
                      <w:p w14:paraId="40C434E6"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 </w:t>
                        </w:r>
                      </w:p>
                      <w:p w14:paraId="422E2BBA"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реконструкция, ремонт, оборудване и/или обзавеждане на спортна инфраструктура; </w:t>
                        </w:r>
                      </w:p>
                      <w:p w14:paraId="0050660D"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 </w:t>
                        </w:r>
                      </w:p>
                      <w:p w14:paraId="0F06CD90" w14:textId="77777777" w:rsidR="004B1C09" w:rsidRDefault="00CE5FAA" w:rsidP="002953B4">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Реконструкция, ремонт, оборудване и/или обзавеждане на общинска образователна инфраструктура с местно значение в селските райони.</w:t>
                        </w:r>
                      </w:p>
                      <w:p w14:paraId="7D6983B3" w14:textId="6DF54D6A" w:rsidR="00220327" w:rsidRPr="005310C3" w:rsidRDefault="00220327" w:rsidP="002953B4">
                        <w:pPr>
                          <w:autoSpaceDE w:val="0"/>
                          <w:autoSpaceDN w:val="0"/>
                          <w:adjustRightInd w:val="0"/>
                          <w:spacing w:after="0" w:line="240" w:lineRule="auto"/>
                          <w:jc w:val="both"/>
                          <w:rPr>
                            <w:rFonts w:ascii="Times New Roman" w:hAnsi="Times New Roman" w:cs="Times New Roman"/>
                            <w:sz w:val="24"/>
                            <w:szCs w:val="24"/>
                            <w:lang w:val="en-US"/>
                          </w:rPr>
                        </w:pPr>
                      </w:p>
                    </w:tc>
                  </w:tr>
                </w:tbl>
                <w:p w14:paraId="791E3141" w14:textId="77777777" w:rsidR="00AA6168" w:rsidRPr="004C103A" w:rsidRDefault="00AA6168" w:rsidP="00AA6168">
                  <w:pPr>
                    <w:pStyle w:val="Default"/>
                  </w:pPr>
                </w:p>
              </w:tc>
              <w:tc>
                <w:tcPr>
                  <w:tcW w:w="0" w:type="auto"/>
                </w:tcPr>
                <w:p w14:paraId="16547E75" w14:textId="77777777" w:rsidR="00AA6168" w:rsidRDefault="00AA6168">
                  <w:r>
                    <w:rPr>
                      <w:sz w:val="17"/>
                      <w:szCs w:val="17"/>
                    </w:rPr>
                    <w:lastRenderedPageBreak/>
                    <w:t xml:space="preserve"> </w:t>
                  </w:r>
                </w:p>
              </w:tc>
            </w:tr>
          </w:tbl>
          <w:p w14:paraId="19C96748" w14:textId="1FCF829B" w:rsidR="00A14B1A" w:rsidRPr="008A0E1A" w:rsidRDefault="00A14B1A" w:rsidP="001B3EA6">
            <w:pPr>
              <w:autoSpaceDE w:val="0"/>
              <w:autoSpaceDN w:val="0"/>
              <w:adjustRightInd w:val="0"/>
              <w:spacing w:before="120"/>
              <w:jc w:val="both"/>
              <w:rPr>
                <w:sz w:val="24"/>
                <w:szCs w:val="24"/>
              </w:rPr>
            </w:pPr>
          </w:p>
        </w:tc>
      </w:tr>
    </w:tbl>
    <w:p w14:paraId="79F3DA19" w14:textId="77777777" w:rsidR="0085404A" w:rsidRPr="0085404A" w:rsidRDefault="0085404A" w:rsidP="0085404A">
      <w:bookmarkStart w:id="36" w:name="_Toc445385591"/>
    </w:p>
    <w:p w14:paraId="367CC9CD" w14:textId="7934AF55" w:rsidR="0085404A" w:rsidRDefault="0085404A" w:rsidP="00327E37">
      <w:pPr>
        <w:pStyle w:val="Heading2"/>
      </w:pPr>
      <w:bookmarkStart w:id="37" w:name="_Toc534292212"/>
      <w:r>
        <w:t>13.2. Условия за допустимост на дейностите:</w:t>
      </w:r>
      <w:bookmarkEnd w:id="37"/>
    </w:p>
    <w:p w14:paraId="6C568B65" w14:textId="5F3E6EFC" w:rsidR="0085404A" w:rsidRPr="00857485"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sidRPr="00857485">
        <w:rPr>
          <w:rFonts w:ascii="Times New Roman" w:hAnsi="Times New Roman" w:cs="Times New Roman"/>
          <w:b/>
          <w:sz w:val="24"/>
          <w:szCs w:val="24"/>
        </w:rPr>
        <w:t>I. Общи изисквания:</w:t>
      </w:r>
    </w:p>
    <w:p w14:paraId="663A1743" w14:textId="7ADA2DD4" w:rsidR="00857485"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1.Подпомагат се проекти, за които </w:t>
      </w:r>
      <w:r w:rsidR="00857485">
        <w:rPr>
          <w:rFonts w:ascii="Times New Roman" w:hAnsi="Times New Roman" w:cs="Times New Roman"/>
          <w:sz w:val="24"/>
          <w:szCs w:val="24"/>
        </w:rPr>
        <w:t xml:space="preserve">е наличен един от следните документи: </w:t>
      </w:r>
      <w:r w:rsidR="00857485" w:rsidRPr="00857485">
        <w:rPr>
          <w:rFonts w:ascii="Times New Roman" w:hAnsi="Times New Roman" w:cs="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r w:rsidR="00857485">
        <w:rPr>
          <w:rFonts w:ascii="Times New Roman" w:hAnsi="Times New Roman" w:cs="Times New Roman"/>
          <w:sz w:val="24"/>
          <w:szCs w:val="24"/>
        </w:rPr>
        <w:t>);</w:t>
      </w:r>
    </w:p>
    <w:p w14:paraId="04A1BFCC" w14:textId="109EDFF4"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прилагат документи за:</w:t>
      </w:r>
    </w:p>
    <w:p w14:paraId="4C47AD3B" w14:textId="038C05CB"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.1.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w:t>
      </w:r>
    </w:p>
    <w:p w14:paraId="74CD8C25" w14:textId="40F54F2B"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 xml:space="preserve">.2.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w:t>
      </w:r>
      <w:r w:rsidR="0085404A" w:rsidRPr="0085404A">
        <w:rPr>
          <w:rFonts w:ascii="Times New Roman" w:hAnsi="Times New Roman" w:cs="Times New Roman"/>
          <w:sz w:val="24"/>
          <w:szCs w:val="24"/>
        </w:rPr>
        <w:lastRenderedPageBreak/>
        <w:t>случаите на обновяване на сгради и/или помещения, за които не се изисква издаване на разрешение за строеж, съгласно Закона за устройство на територият</w:t>
      </w:r>
      <w:r w:rsidR="0085404A">
        <w:rPr>
          <w:rFonts w:ascii="Times New Roman" w:hAnsi="Times New Roman" w:cs="Times New Roman"/>
          <w:sz w:val="24"/>
          <w:szCs w:val="24"/>
        </w:rPr>
        <w:t>а.</w:t>
      </w:r>
    </w:p>
    <w:p w14:paraId="1766232E" w14:textId="3BDB4C4A" w:rsidR="0085404A" w:rsidRPr="00857485" w:rsidRDefault="004B06F5"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lang w:val="en-US"/>
        </w:rPr>
        <w:t>II</w:t>
      </w:r>
      <w:r w:rsidR="0085404A" w:rsidRPr="00857485">
        <w:rPr>
          <w:rFonts w:ascii="Times New Roman" w:hAnsi="Times New Roman" w:cs="Times New Roman"/>
          <w:b/>
          <w:sz w:val="24"/>
          <w:szCs w:val="24"/>
        </w:rPr>
        <w:t>. Към проектите, включващи разходи за строително-монтажни работи, се прилагат:</w:t>
      </w:r>
    </w:p>
    <w:p w14:paraId="1D4DD5F9" w14:textId="77777777" w:rsidR="00857485" w:rsidRDefault="0085404A" w:rsidP="00857485">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а) </w:t>
      </w:r>
      <w:r w:rsidR="00857485" w:rsidRPr="00857485">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w:t>
      </w:r>
    </w:p>
    <w:p w14:paraId="480D38AC" w14:textId="0EBAFEC2" w:rsidR="0085404A" w:rsidRPr="0085404A" w:rsidRDefault="00857485" w:rsidP="00857485">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б</w:t>
      </w:r>
      <w:r w:rsidR="0085404A" w:rsidRPr="0085404A">
        <w:rPr>
          <w:rFonts w:ascii="Times New Roman" w:hAnsi="Times New Roman" w:cs="Times New Roman"/>
          <w:sz w:val="24"/>
          <w:szCs w:val="24"/>
        </w:rPr>
        <w:t>) подробни количествени сметки, които са заверени от правоспособно лице;</w:t>
      </w:r>
    </w:p>
    <w:p w14:paraId="3E440450" w14:textId="6122FDF1"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г) </w:t>
      </w:r>
      <w:r w:rsidR="00857485" w:rsidRPr="00857485">
        <w:rPr>
          <w:rFonts w:ascii="Times New Roman" w:hAnsi="Times New Roman" w:cs="Times New Roman"/>
          <w:sz w:val="24"/>
          <w:szCs w:val="24"/>
        </w:rPr>
        <w:t>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3876FB8C" w14:textId="27FDAA75"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е) </w:t>
      </w:r>
      <w:r w:rsidR="00857485" w:rsidRPr="00857485">
        <w:rPr>
          <w:rFonts w:ascii="Times New Roman" w:hAnsi="Times New Roman" w:cs="Times New Roman"/>
          <w:sz w:val="24"/>
          <w:szCs w:val="24"/>
        </w:rPr>
        <w:t>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14:paraId="479D0DAA" w14:textId="77777777"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5. Проектите, които включват разходи за преместваеми обекти и елементи на градското обзавеждане, се придружават с разрешение за поставяне, издадено в съответствие със ЗУТ.</w:t>
      </w:r>
    </w:p>
    <w:p w14:paraId="6F220A7F" w14:textId="1932F8FD" w:rsidR="0085404A" w:rsidRPr="00FE48CF" w:rsidRDefault="004B06F5"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III</w:t>
      </w:r>
      <w:r w:rsidR="0085404A" w:rsidRPr="00FE48CF">
        <w:rPr>
          <w:rFonts w:ascii="Times New Roman" w:hAnsi="Times New Roman" w:cs="Times New Roman"/>
          <w:b/>
          <w:sz w:val="24"/>
          <w:szCs w:val="24"/>
        </w:rPr>
        <w:t>. Към проектите, включващи разходи за строително-монтажни работи, когато обектите са недвижими културни ценности, се прилагат</w:t>
      </w:r>
      <w:r w:rsidR="00857485" w:rsidRPr="00FE48CF">
        <w:rPr>
          <w:rFonts w:ascii="Times New Roman" w:hAnsi="Times New Roman" w:cs="Times New Roman"/>
          <w:b/>
          <w:sz w:val="24"/>
          <w:szCs w:val="24"/>
        </w:rPr>
        <w:t xml:space="preserve"> и </w:t>
      </w:r>
      <w:r w:rsidR="0085404A" w:rsidRPr="00FE48CF">
        <w:rPr>
          <w:rFonts w:ascii="Times New Roman" w:hAnsi="Times New Roman" w:cs="Times New Roman"/>
          <w:b/>
          <w:sz w:val="24"/>
          <w:szCs w:val="24"/>
        </w:rPr>
        <w:t>:</w:t>
      </w:r>
    </w:p>
    <w:p w14:paraId="29C4E218" w14:textId="77298F10" w:rsidR="00FE48CF" w:rsidRPr="0085404A" w:rsidRDefault="00FE48CF" w:rsidP="00FE48CF">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w:t>
      </w:r>
      <w:r w:rsidR="000463FB">
        <w:rPr>
          <w:rFonts w:ascii="Times New Roman" w:hAnsi="Times New Roman" w:cs="Times New Roman"/>
          <w:sz w:val="24"/>
          <w:szCs w:val="24"/>
        </w:rPr>
        <w:t xml:space="preserve">то на културата </w:t>
      </w:r>
      <w:r w:rsidR="000463FB" w:rsidRPr="000463FB">
        <w:rPr>
          <w:rFonts w:ascii="Times New Roman" w:hAnsi="Times New Roman" w:cs="Times New Roman"/>
          <w:sz w:val="24"/>
          <w:szCs w:val="24"/>
        </w:rPr>
        <w:t>по реда на Закона за културното наследство.</w:t>
      </w:r>
    </w:p>
    <w:p w14:paraId="4D76FCA7" w14:textId="77777777"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в)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 за обхвата и съдържанието на инвестиционните проекти (ДВ, бр. 51 от 2001 г.);</w:t>
      </w:r>
    </w:p>
    <w:p w14:paraId="16FB8961" w14:textId="77777777" w:rsidR="00FE48CF"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г) </w:t>
      </w:r>
      <w:r w:rsidR="00FE48CF" w:rsidRPr="00FE48CF">
        <w:rPr>
          <w:rFonts w:ascii="Times New Roman" w:hAnsi="Times New Roman" w:cs="Times New Roman"/>
          <w:sz w:val="24"/>
          <w:szCs w:val="24"/>
        </w:rPr>
        <w:t>Удостоверение от Националния институт за недвижимо културно наследство за статута на обекта като недвижима културна ценност</w:t>
      </w:r>
    </w:p>
    <w:p w14:paraId="31AF242E" w14:textId="5386B66F" w:rsidR="00FE48CF" w:rsidRPr="00FE48CF" w:rsidRDefault="004B06F5" w:rsidP="00FE48CF">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IV. </w:t>
      </w:r>
      <w:r w:rsidR="00FE48CF">
        <w:rPr>
          <w:rFonts w:ascii="Times New Roman" w:hAnsi="Times New Roman" w:cs="Times New Roman"/>
          <w:b/>
          <w:sz w:val="24"/>
          <w:szCs w:val="24"/>
        </w:rPr>
        <w:t>За дейност</w:t>
      </w:r>
      <w:r w:rsidR="00FE48CF" w:rsidRPr="00FE48CF">
        <w:rPr>
          <w:rFonts w:ascii="Times New Roman" w:hAnsi="Times New Roman" w:cs="Times New Roman"/>
          <w:b/>
          <w:sz w:val="24"/>
          <w:szCs w:val="24"/>
        </w:rPr>
        <w:t xml:space="preserve"> строителство, реконструкция и/или рехабилитация на нови и съществуващи улици и тротоари и съоръжени</w:t>
      </w:r>
      <w:r w:rsidR="00FE48CF">
        <w:rPr>
          <w:rFonts w:ascii="Times New Roman" w:hAnsi="Times New Roman" w:cs="Times New Roman"/>
          <w:b/>
          <w:sz w:val="24"/>
          <w:szCs w:val="24"/>
        </w:rPr>
        <w:t>ята и принадлежностите към тях:</w:t>
      </w:r>
    </w:p>
    <w:p w14:paraId="66E48662" w14:textId="411FF069" w:rsidR="00FE48CF" w:rsidRDefault="00FE48CF"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FE48CF">
        <w:rPr>
          <w:rFonts w:ascii="Times New Roman" w:hAnsi="Times New Roman" w:cs="Times New Roman"/>
          <w:sz w:val="24"/>
          <w:szCs w:val="24"/>
        </w:rPr>
        <w:t xml:space="preserve">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административния договор. </w:t>
      </w:r>
    </w:p>
    <w:p w14:paraId="448CC416" w14:textId="4FD41542"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sidRPr="00497639">
        <w:rPr>
          <w:rFonts w:ascii="Times New Roman" w:hAnsi="Times New Roman" w:cs="Times New Roman"/>
          <w:b/>
          <w:sz w:val="24"/>
          <w:szCs w:val="24"/>
        </w:rPr>
        <w:t xml:space="preserve">V. </w:t>
      </w:r>
      <w:r>
        <w:rPr>
          <w:rFonts w:ascii="Times New Roman" w:hAnsi="Times New Roman" w:cs="Times New Roman"/>
          <w:b/>
          <w:sz w:val="24"/>
          <w:szCs w:val="24"/>
        </w:rPr>
        <w:t>За дейност</w:t>
      </w:r>
      <w:r w:rsidRPr="00497639">
        <w:rPr>
          <w:rFonts w:ascii="Times New Roman" w:hAnsi="Times New Roman" w:cs="Times New Roman"/>
          <w:b/>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p>
    <w:p w14:paraId="674B503D" w14:textId="77777777"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 Подпомагат се проекти, за които са представени:</w:t>
      </w:r>
    </w:p>
    <w:p w14:paraId="4F52229B" w14:textId="77777777"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14:paraId="15AB6B3F" w14:textId="12B1A95D" w:rsidR="00497639" w:rsidRDefault="00497639"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1.2. обследване за енергийна ефективност придружено от валиден сертификат за енергийни характеристики на сграда в експлоатация, изготвени по реда на чл. 48 от Закона за енергийната ефективност и Наредба № Е-РД-04-1 от 2016 г. за обследване за енергийна ефективност, сертифициране и оценка на енергийните спестявания на сград</w:t>
      </w:r>
      <w:r>
        <w:rPr>
          <w:rFonts w:ascii="Times New Roman" w:hAnsi="Times New Roman" w:cs="Times New Roman"/>
          <w:sz w:val="24"/>
          <w:szCs w:val="24"/>
        </w:rPr>
        <w:t>и (ДВ, бр. 10 от 2016 г.).</w:t>
      </w:r>
    </w:p>
    <w:p w14:paraId="446E1838" w14:textId="2A39D913" w:rsidR="004B06F5" w:rsidRDefault="004B06F5" w:rsidP="00327E37">
      <w:pPr>
        <w:pStyle w:val="Heading2"/>
      </w:pPr>
      <w:bookmarkStart w:id="38" w:name="_Toc534292213"/>
      <w:r>
        <w:t>13.3. Недопустими дейности</w:t>
      </w:r>
      <w:bookmarkEnd w:id="38"/>
    </w:p>
    <w:p w14:paraId="1AAD8935" w14:textId="4AE16B89" w:rsidR="00DC09F7" w:rsidRPr="00DC09F7" w:rsidRDefault="00DC09F7" w:rsidP="00DC09F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DC09F7">
        <w:rPr>
          <w:rFonts w:ascii="Times New Roman" w:eastAsia="Calibri" w:hAnsi="Times New Roman" w:cs="Times New Roman"/>
          <w:sz w:val="24"/>
          <w:szCs w:val="24"/>
        </w:rPr>
        <w:t>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0E7573A0" w14:textId="77777777" w:rsidR="00DC09F7" w:rsidRPr="00DC09F7" w:rsidRDefault="00DC09F7" w:rsidP="00DC09F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DC09F7">
        <w:rPr>
          <w:rFonts w:ascii="Times New Roman" w:eastAsia="Calibri" w:hAnsi="Times New Roman" w:cs="Times New Roman"/>
          <w:sz w:val="24"/>
          <w:szCs w:val="24"/>
        </w:rPr>
        <w:t xml:space="preserve">Не са допустими за финансиране дейности, които са стартирали, физически приключени </w:t>
      </w:r>
      <w:r w:rsidRPr="00DC09F7">
        <w:rPr>
          <w:rFonts w:ascii="Times New Roman" w:eastAsia="Calibri" w:hAnsi="Times New Roman" w:cs="Times New Roman"/>
          <w:sz w:val="24"/>
          <w:szCs w:val="24"/>
        </w:rPr>
        <w:lastRenderedPageBreak/>
        <w:t>или изцяло изпълнени преди подаване на проектното предложение.</w:t>
      </w:r>
    </w:p>
    <w:p w14:paraId="3A7948BA" w14:textId="77777777" w:rsidR="00815963" w:rsidRPr="007713C1" w:rsidRDefault="00815963" w:rsidP="007A0720">
      <w:pPr>
        <w:pStyle w:val="Heading1"/>
      </w:pPr>
      <w:bookmarkStart w:id="39" w:name="_Toc534292214"/>
      <w:r w:rsidRPr="007713C1">
        <w:t>14. Категории ра</w:t>
      </w:r>
      <w:r w:rsidR="005B29DA" w:rsidRPr="007713C1">
        <w:t>зходи, допустими за финансиране</w:t>
      </w:r>
      <w:r w:rsidRPr="007713C1">
        <w:t>:</w:t>
      </w:r>
      <w:bookmarkEnd w:id="36"/>
      <w:bookmarkEnd w:id="39"/>
    </w:p>
    <w:p w14:paraId="59E7E9F3" w14:textId="77777777" w:rsidR="00F74CEC" w:rsidRPr="00327E37" w:rsidRDefault="002705DF" w:rsidP="00327E37">
      <w:pPr>
        <w:pStyle w:val="Heading2"/>
      </w:pPr>
      <w:bookmarkStart w:id="40" w:name="_Toc445385594"/>
      <w:bookmarkStart w:id="41" w:name="_Toc534292215"/>
      <w:r w:rsidRPr="00327E37">
        <w:t>14.</w:t>
      </w:r>
      <w:r w:rsidR="007A0720" w:rsidRPr="00327E37">
        <w:t>1</w:t>
      </w:r>
      <w:r w:rsidRPr="00327E37">
        <w:t>. Допустими разходи</w:t>
      </w:r>
      <w:bookmarkEnd w:id="40"/>
      <w:bookmarkEnd w:id="41"/>
    </w:p>
    <w:tbl>
      <w:tblPr>
        <w:tblStyle w:val="TableGrid"/>
        <w:tblW w:w="0" w:type="auto"/>
        <w:tblInd w:w="-147" w:type="dxa"/>
        <w:tblLook w:val="04A0" w:firstRow="1" w:lastRow="0" w:firstColumn="1" w:lastColumn="0" w:noHBand="0" w:noVBand="1"/>
      </w:tblPr>
      <w:tblGrid>
        <w:gridCol w:w="9493"/>
      </w:tblGrid>
      <w:tr w:rsidR="002705DF" w:rsidRPr="00F6555A" w14:paraId="4818B9CC" w14:textId="77777777" w:rsidTr="00327E37">
        <w:tc>
          <w:tcPr>
            <w:tcW w:w="9493" w:type="dxa"/>
            <w:shd w:val="clear" w:color="auto" w:fill="auto"/>
          </w:tcPr>
          <w:p w14:paraId="6D86E89D" w14:textId="01D9D5FF" w:rsidR="00B36419" w:rsidRPr="00055371" w:rsidRDefault="00B36419" w:rsidP="00B36419">
            <w:pPr>
              <w:widowControl w:val="0"/>
              <w:autoSpaceDE w:val="0"/>
              <w:autoSpaceDN w:val="0"/>
              <w:adjustRightInd w:val="0"/>
              <w:jc w:val="both"/>
              <w:rPr>
                <w:sz w:val="24"/>
                <w:szCs w:val="24"/>
              </w:rPr>
            </w:pPr>
            <w:r w:rsidRPr="00055371">
              <w:rPr>
                <w:sz w:val="24"/>
                <w:szCs w:val="24"/>
              </w:rPr>
              <w:t>Допустими за подпомагане са следните разходи:</w:t>
            </w:r>
          </w:p>
          <w:p w14:paraId="06BDAD94" w14:textId="77777777" w:rsidR="00801B9A" w:rsidRPr="00253C6A" w:rsidRDefault="00801B9A" w:rsidP="00253C6A">
            <w:pPr>
              <w:jc w:val="both"/>
              <w:rPr>
                <w:sz w:val="24"/>
                <w:szCs w:val="24"/>
              </w:rPr>
            </w:pPr>
          </w:p>
          <w:p w14:paraId="42EF4527" w14:textId="3CA9884E" w:rsidR="00E74EED" w:rsidRPr="00253C6A" w:rsidRDefault="002F0867" w:rsidP="00253C6A">
            <w:pPr>
              <w:jc w:val="both"/>
              <w:rPr>
                <w:sz w:val="24"/>
                <w:szCs w:val="24"/>
              </w:rPr>
            </w:pPr>
            <w:r>
              <w:rPr>
                <w:sz w:val="24"/>
                <w:szCs w:val="24"/>
              </w:rPr>
              <w:t xml:space="preserve">1. </w:t>
            </w:r>
            <w:r w:rsidR="0052663F" w:rsidRPr="00253C6A">
              <w:rPr>
                <w:sz w:val="24"/>
                <w:szCs w:val="24"/>
              </w:rPr>
              <w:t>Изграждането</w:t>
            </w:r>
            <w:r w:rsidR="00E74EED" w:rsidRPr="00253C6A">
              <w:rPr>
                <w:sz w:val="24"/>
                <w:szCs w:val="24"/>
              </w:rPr>
              <w:t xml:space="preserve">, включително отпускането на лизинг, или подобренията </w:t>
            </w:r>
            <w:r w:rsidR="00715296" w:rsidRPr="00253C6A">
              <w:rPr>
                <w:sz w:val="24"/>
                <w:szCs w:val="24"/>
              </w:rPr>
              <w:t>на недвижимо имущество;</w:t>
            </w:r>
          </w:p>
          <w:p w14:paraId="703CC8B3" w14:textId="590C04E2" w:rsidR="00E74EED" w:rsidRPr="00253C6A" w:rsidRDefault="002F0867" w:rsidP="00253C6A">
            <w:pPr>
              <w:jc w:val="both"/>
              <w:rPr>
                <w:sz w:val="24"/>
                <w:szCs w:val="24"/>
              </w:rPr>
            </w:pPr>
            <w:r>
              <w:rPr>
                <w:sz w:val="24"/>
                <w:szCs w:val="24"/>
              </w:rPr>
              <w:t xml:space="preserve">2. </w:t>
            </w:r>
            <w:r w:rsidR="00E74EED" w:rsidRPr="00253C6A">
              <w:rPr>
                <w:sz w:val="24"/>
                <w:szCs w:val="24"/>
              </w:rPr>
              <w:t>Закупуването или вземането на лизинг на нови машини и оборудване, обзавеждане до</w:t>
            </w:r>
          </w:p>
          <w:p w14:paraId="66EC6B91" w14:textId="77777777" w:rsidR="00E74EED" w:rsidRPr="00253C6A" w:rsidRDefault="00E74EED" w:rsidP="00253C6A">
            <w:pPr>
              <w:jc w:val="both"/>
              <w:rPr>
                <w:sz w:val="24"/>
                <w:szCs w:val="24"/>
              </w:rPr>
            </w:pPr>
            <w:r w:rsidRPr="00253C6A">
              <w:rPr>
                <w:sz w:val="24"/>
                <w:szCs w:val="24"/>
              </w:rPr>
              <w:t>пазарната цена на актива;</w:t>
            </w:r>
          </w:p>
          <w:p w14:paraId="6221EC18" w14:textId="2FC7CD73" w:rsidR="004335B3" w:rsidRPr="00253C6A" w:rsidRDefault="002F0867" w:rsidP="00253C6A">
            <w:pPr>
              <w:jc w:val="both"/>
              <w:rPr>
                <w:sz w:val="24"/>
                <w:szCs w:val="24"/>
              </w:rPr>
            </w:pPr>
            <w:r>
              <w:rPr>
                <w:sz w:val="24"/>
                <w:szCs w:val="24"/>
              </w:rPr>
              <w:t xml:space="preserve">3. </w:t>
            </w:r>
            <w:r w:rsidR="00E74EED" w:rsidRPr="00253C6A">
              <w:rPr>
                <w:sz w:val="24"/>
                <w:szCs w:val="24"/>
              </w:rPr>
              <w:t>Общи разходи свързани със съответния проект за такси,</w:t>
            </w:r>
            <w:r w:rsidR="00253C6A">
              <w:rPr>
                <w:sz w:val="24"/>
                <w:szCs w:val="24"/>
              </w:rPr>
              <w:t xml:space="preserve"> </w:t>
            </w:r>
            <w:r w:rsidR="00E74EED" w:rsidRPr="00253C6A">
              <w:rPr>
                <w:sz w:val="24"/>
                <w:szCs w:val="24"/>
              </w:rPr>
              <w:t>хонорари за архитекти, инженери и консултантски услуги; хонорари, свързани с</w:t>
            </w:r>
            <w:r w:rsidR="00253C6A">
              <w:rPr>
                <w:sz w:val="24"/>
                <w:szCs w:val="24"/>
              </w:rPr>
              <w:t xml:space="preserve"> </w:t>
            </w:r>
            <w:r w:rsidR="00E74EED" w:rsidRPr="00253C6A">
              <w:rPr>
                <w:sz w:val="24"/>
                <w:szCs w:val="24"/>
              </w:rPr>
              <w:t>консултации относно екологична</w:t>
            </w:r>
            <w:r w:rsidR="004335B3" w:rsidRPr="00253C6A">
              <w:rPr>
                <w:sz w:val="24"/>
                <w:szCs w:val="24"/>
              </w:rPr>
              <w:t xml:space="preserve">та и икономическата устойчивост.  </w:t>
            </w:r>
          </w:p>
          <w:p w14:paraId="19F21529" w14:textId="3B1CFCFB" w:rsidR="00E74EED" w:rsidRPr="00253C6A" w:rsidRDefault="004335B3" w:rsidP="00253C6A">
            <w:pPr>
              <w:jc w:val="both"/>
              <w:rPr>
                <w:sz w:val="24"/>
                <w:szCs w:val="24"/>
              </w:rPr>
            </w:pPr>
            <w:r w:rsidRPr="00253C6A">
              <w:rPr>
                <w:sz w:val="24"/>
                <w:szCs w:val="24"/>
              </w:rPr>
              <w:t>Консултантските услуги се състоят от разработване на бизнес план, включващ предпроектни изследвания и маркетингови стратегии или попълване на анализ разходи-ползи (финансов анализ), извършване на 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w:t>
            </w:r>
          </w:p>
          <w:p w14:paraId="77227326" w14:textId="1F0D8F97" w:rsidR="00E74EED" w:rsidRPr="00253C6A" w:rsidRDefault="002F0867" w:rsidP="00253C6A">
            <w:pPr>
              <w:jc w:val="both"/>
              <w:rPr>
                <w:sz w:val="24"/>
                <w:szCs w:val="24"/>
              </w:rPr>
            </w:pPr>
            <w:r>
              <w:rPr>
                <w:sz w:val="24"/>
                <w:szCs w:val="24"/>
              </w:rPr>
              <w:t xml:space="preserve">4. </w:t>
            </w:r>
            <w:r w:rsidR="00E74EED" w:rsidRPr="00253C6A">
              <w:rPr>
                <w:sz w:val="24"/>
                <w:szCs w:val="24"/>
              </w:rPr>
              <w:t>Нематериални инвестиции: придобиването или развитието на компютърен софтуер и</w:t>
            </w:r>
          </w:p>
          <w:p w14:paraId="7FA86DEA" w14:textId="77777777" w:rsidR="00E74EED" w:rsidRPr="00253C6A" w:rsidRDefault="00E74EED" w:rsidP="00253C6A">
            <w:pPr>
              <w:jc w:val="both"/>
              <w:rPr>
                <w:sz w:val="24"/>
                <w:szCs w:val="24"/>
              </w:rPr>
            </w:pPr>
            <w:r w:rsidRPr="00253C6A">
              <w:rPr>
                <w:sz w:val="24"/>
                <w:szCs w:val="24"/>
              </w:rPr>
              <w:t>придобиването на патенти, лицензи, авторски права, търговски марки.</w:t>
            </w:r>
          </w:p>
          <w:p w14:paraId="33CBB9EF" w14:textId="77777777" w:rsidR="004335B3" w:rsidRPr="00253C6A" w:rsidRDefault="004335B3" w:rsidP="00253C6A">
            <w:pPr>
              <w:jc w:val="both"/>
              <w:rPr>
                <w:sz w:val="24"/>
                <w:szCs w:val="24"/>
              </w:rPr>
            </w:pPr>
          </w:p>
          <w:p w14:paraId="7D5C5602" w14:textId="7AD1D8DD" w:rsidR="00E74EED" w:rsidRPr="00253C6A" w:rsidRDefault="002F0867" w:rsidP="00253C6A">
            <w:pPr>
              <w:jc w:val="both"/>
              <w:rPr>
                <w:sz w:val="24"/>
                <w:szCs w:val="24"/>
              </w:rPr>
            </w:pPr>
            <w:r>
              <w:rPr>
                <w:sz w:val="24"/>
                <w:szCs w:val="24"/>
              </w:rPr>
              <w:t>Разходите по т. 3</w:t>
            </w:r>
            <w:r w:rsidR="00E74EED" w:rsidRPr="00253C6A">
              <w:rPr>
                <w:sz w:val="24"/>
                <w:szCs w:val="24"/>
              </w:rPr>
              <w:t xml:space="preserve"> не трябва да надхвърлят 12</w:t>
            </w:r>
            <w:r>
              <w:rPr>
                <w:sz w:val="24"/>
                <w:szCs w:val="24"/>
              </w:rPr>
              <w:t>% от сумата на разходите по т. 1, 2 и 4.</w:t>
            </w:r>
          </w:p>
          <w:p w14:paraId="7AAA7A45" w14:textId="77777777" w:rsidR="008F5ACE" w:rsidRPr="00055371" w:rsidRDefault="008F5ACE" w:rsidP="00E74EED">
            <w:pPr>
              <w:widowControl w:val="0"/>
              <w:autoSpaceDE w:val="0"/>
              <w:autoSpaceDN w:val="0"/>
              <w:adjustRightInd w:val="0"/>
              <w:jc w:val="both"/>
              <w:rPr>
                <w:sz w:val="24"/>
                <w:szCs w:val="24"/>
              </w:rPr>
            </w:pPr>
          </w:p>
          <w:p w14:paraId="6AC87FE3" w14:textId="12EAC97E" w:rsidR="00305F4F" w:rsidRPr="00055371" w:rsidRDefault="00305F4F" w:rsidP="00E74EED">
            <w:pPr>
              <w:widowControl w:val="0"/>
              <w:autoSpaceDE w:val="0"/>
              <w:autoSpaceDN w:val="0"/>
              <w:adjustRightInd w:val="0"/>
              <w:jc w:val="both"/>
              <w:rPr>
                <w:sz w:val="24"/>
                <w:szCs w:val="24"/>
              </w:rPr>
            </w:pPr>
            <w:r w:rsidRPr="00055371">
              <w:rPr>
                <w:sz w:val="24"/>
                <w:szCs w:val="24"/>
              </w:rPr>
              <w:t>Закупуването на транспортни средства/мобилни обекти е допустимо за следните дейности:</w:t>
            </w:r>
          </w:p>
          <w:p w14:paraId="5440917B" w14:textId="77777777" w:rsidR="00305F4F" w:rsidRPr="00055371" w:rsidRDefault="00305F4F" w:rsidP="00E74EED">
            <w:pPr>
              <w:widowControl w:val="0"/>
              <w:autoSpaceDE w:val="0"/>
              <w:autoSpaceDN w:val="0"/>
              <w:adjustRightInd w:val="0"/>
              <w:jc w:val="both"/>
              <w:rPr>
                <w:sz w:val="24"/>
                <w:szCs w:val="24"/>
              </w:rPr>
            </w:pPr>
          </w:p>
          <w:p w14:paraId="3C4479AD" w14:textId="18F31A50" w:rsidR="00305F4F" w:rsidRPr="00055371" w:rsidRDefault="00305F4F" w:rsidP="00305F4F">
            <w:pPr>
              <w:widowControl w:val="0"/>
              <w:autoSpaceDE w:val="0"/>
              <w:autoSpaceDN w:val="0"/>
              <w:adjustRightInd w:val="0"/>
              <w:jc w:val="both"/>
              <w:rPr>
                <w:sz w:val="24"/>
                <w:szCs w:val="24"/>
              </w:rPr>
            </w:pPr>
            <w:r w:rsidRPr="00055371">
              <w:rPr>
                <w:sz w:val="24"/>
                <w:szCs w:val="24"/>
              </w:rPr>
              <w:t>-</w:t>
            </w:r>
            <w:r w:rsidRPr="00055371">
              <w:t xml:space="preserve"> </w:t>
            </w:r>
            <w:r w:rsidRPr="00055371">
              <w:rPr>
                <w:sz w:val="24"/>
                <w:szCs w:val="24"/>
              </w:rPr>
              <w:t>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w:t>
            </w:r>
            <w:r w:rsidR="00055371" w:rsidRPr="00055371">
              <w:rPr>
                <w:sz w:val="24"/>
                <w:szCs w:val="24"/>
              </w:rPr>
              <w:t xml:space="preserve">ючително транспортни средства; </w:t>
            </w:r>
          </w:p>
          <w:p w14:paraId="5D51FC49" w14:textId="41451FFE" w:rsidR="00305F4F" w:rsidRPr="00055371" w:rsidRDefault="00305F4F" w:rsidP="00305F4F">
            <w:pPr>
              <w:widowControl w:val="0"/>
              <w:autoSpaceDE w:val="0"/>
              <w:autoSpaceDN w:val="0"/>
              <w:adjustRightInd w:val="0"/>
              <w:jc w:val="both"/>
              <w:rPr>
                <w:sz w:val="24"/>
                <w:szCs w:val="24"/>
              </w:rPr>
            </w:pPr>
            <w:r w:rsidRPr="00055371">
              <w:rPr>
                <w:sz w:val="24"/>
                <w:szCs w:val="24"/>
              </w:rPr>
              <w:t>- 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w:t>
            </w:r>
            <w:r w:rsidR="00055371" w:rsidRPr="00055371">
              <w:rPr>
                <w:sz w:val="24"/>
                <w:szCs w:val="24"/>
              </w:rPr>
              <w:t>не на прилежащите пространства.</w:t>
            </w:r>
          </w:p>
          <w:p w14:paraId="68F8BAA6" w14:textId="6CD9700B" w:rsidR="00055371" w:rsidRPr="00055371" w:rsidRDefault="00055371" w:rsidP="00305F4F">
            <w:pPr>
              <w:widowControl w:val="0"/>
              <w:autoSpaceDE w:val="0"/>
              <w:autoSpaceDN w:val="0"/>
              <w:adjustRightInd w:val="0"/>
              <w:jc w:val="both"/>
              <w:rPr>
                <w:sz w:val="24"/>
                <w:szCs w:val="24"/>
              </w:rPr>
            </w:pPr>
            <w:r w:rsidRPr="00055371">
              <w:rPr>
                <w:sz w:val="24"/>
                <w:szCs w:val="24"/>
              </w:rPr>
              <w:t xml:space="preserve">„Мобилни средства“ са моторни </w:t>
            </w:r>
            <w:r>
              <w:rPr>
                <w:sz w:val="24"/>
                <w:szCs w:val="24"/>
              </w:rPr>
              <w:t>превозни средства, които не позволяват използването им за други цели освен изключително и само за осъществяване на дейности за предоставяне на услуги, свързани с културния живот.</w:t>
            </w:r>
          </w:p>
          <w:p w14:paraId="31DB60AE" w14:textId="1B536EA5" w:rsidR="00305F4F" w:rsidRPr="00055371" w:rsidRDefault="00305F4F" w:rsidP="00305F4F">
            <w:pPr>
              <w:widowControl w:val="0"/>
              <w:autoSpaceDE w:val="0"/>
              <w:autoSpaceDN w:val="0"/>
              <w:adjustRightInd w:val="0"/>
              <w:jc w:val="both"/>
              <w:rPr>
                <w:sz w:val="24"/>
                <w:szCs w:val="24"/>
              </w:rPr>
            </w:pPr>
          </w:p>
        </w:tc>
      </w:tr>
    </w:tbl>
    <w:p w14:paraId="707D332E" w14:textId="58240BEC" w:rsidR="00CF24E1" w:rsidRDefault="00CF24E1" w:rsidP="00327E37">
      <w:pPr>
        <w:pStyle w:val="Heading2"/>
      </w:pPr>
      <w:bookmarkStart w:id="42" w:name="_Toc534292216"/>
      <w:bookmarkStart w:id="43" w:name="_Toc445385595"/>
      <w:r>
        <w:t>14.2. Условия за допустимост на разходите</w:t>
      </w:r>
      <w:bookmarkEnd w:id="42"/>
    </w:p>
    <w:p w14:paraId="6FEBD712" w14:textId="57C29D65" w:rsidR="002F0867" w:rsidRPr="002F0867" w:rsidRDefault="002F0867" w:rsidP="00723F8A">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Разходите по т. 3</w:t>
      </w:r>
      <w:r w:rsidRPr="002F0867">
        <w:rPr>
          <w:rFonts w:ascii="Times New Roman" w:eastAsia="Times New Roman" w:hAnsi="Times New Roman" w:cs="Times New Roman"/>
          <w:sz w:val="24"/>
          <w:szCs w:val="24"/>
          <w:lang w:eastAsia="bg-BG"/>
        </w:rPr>
        <w:t xml:space="preserve"> са допустими, ако са извършени не по-рано от 1 януари 2014 г., независимо дали всички свързани с тях плащания са направени.</w:t>
      </w:r>
    </w:p>
    <w:p w14:paraId="03C8696A"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5A6D0AA" w14:textId="53982D85"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Дейностите и разходите по проекта с</w:t>
      </w:r>
      <w:r>
        <w:rPr>
          <w:rFonts w:ascii="Times New Roman" w:eastAsia="Times New Roman" w:hAnsi="Times New Roman" w:cs="Times New Roman"/>
          <w:sz w:val="24"/>
          <w:szCs w:val="24"/>
          <w:lang w:eastAsia="bg-BG"/>
        </w:rPr>
        <w:t xml:space="preserve"> изключение на разходите по т. 3</w:t>
      </w:r>
      <w:r w:rsidRPr="002F0867">
        <w:rPr>
          <w:rFonts w:ascii="Times New Roman" w:eastAsia="Times New Roman" w:hAnsi="Times New Roman" w:cs="Times New Roman"/>
          <w:sz w:val="24"/>
          <w:szCs w:val="24"/>
          <w:lang w:eastAsia="bg-BG"/>
        </w:rPr>
        <w:t xml:space="preserve"> са допустими, ако са </w:t>
      </w:r>
      <w:r w:rsidRPr="002F0867">
        <w:rPr>
          <w:rFonts w:ascii="Times New Roman" w:eastAsia="Times New Roman" w:hAnsi="Times New Roman" w:cs="Times New Roman"/>
          <w:b/>
          <w:sz w:val="24"/>
          <w:szCs w:val="24"/>
          <w:lang w:eastAsia="bg-BG"/>
        </w:rPr>
        <w:t>извършени след подаване на проектното предложение</w:t>
      </w:r>
      <w:r w:rsidRPr="002F0867">
        <w:rPr>
          <w:rFonts w:ascii="Times New Roman" w:eastAsia="Times New Roman" w:hAnsi="Times New Roman" w:cs="Times New Roman"/>
          <w:sz w:val="24"/>
          <w:szCs w:val="24"/>
          <w:lang w:eastAsia="bg-BG"/>
        </w:rPr>
        <w:t>, независимо дали всички свързани с тях плащания са направени.</w:t>
      </w:r>
    </w:p>
    <w:p w14:paraId="28F61676"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2B9FDECE" w14:textId="77777777"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 xml:space="preserve">Закупуването </w:t>
      </w:r>
      <w:r w:rsidRPr="002F0867">
        <w:rPr>
          <w:rFonts w:ascii="Times New Roman" w:eastAsia="Times New Roman" w:hAnsi="Times New Roman" w:cs="Times New Roman"/>
          <w:b/>
          <w:sz w:val="24"/>
          <w:szCs w:val="24"/>
          <w:lang w:eastAsia="bg-BG"/>
        </w:rPr>
        <w:t>чрез финансов лизинг</w:t>
      </w:r>
      <w:r w:rsidRPr="002F0867">
        <w:rPr>
          <w:rFonts w:ascii="Times New Roman" w:eastAsia="Times New Roman" w:hAnsi="Times New Roman" w:cs="Times New Roman"/>
          <w:sz w:val="24"/>
          <w:szCs w:val="24"/>
          <w:lang w:eastAsia="bg-BG"/>
        </w:rPr>
        <w:t xml:space="preserve">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14:paraId="4217DFEB"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2F333E88" w14:textId="6165B874"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разходите по т. 3</w:t>
      </w:r>
      <w:r w:rsidRPr="002F0867">
        <w:rPr>
          <w:rFonts w:ascii="Times New Roman" w:eastAsia="Times New Roman" w:hAnsi="Times New Roman" w:cs="Times New Roman"/>
          <w:sz w:val="24"/>
          <w:szCs w:val="24"/>
          <w:lang w:eastAsia="bg-BG"/>
        </w:rPr>
        <w:t>,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 Обосноваността на разхода се преценява чрез съпоставяне с определени референтни разходи.</w:t>
      </w:r>
    </w:p>
    <w:p w14:paraId="4D25E6E6"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6678538B" w14:textId="0000F179"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Когато разходът</w:t>
      </w:r>
      <w:r w:rsidR="0065465B">
        <w:rPr>
          <w:rFonts w:ascii="Times New Roman" w:eastAsia="Times New Roman" w:hAnsi="Times New Roman" w:cs="Times New Roman"/>
          <w:sz w:val="24"/>
          <w:szCs w:val="24"/>
          <w:lang w:val="ru-RU" w:eastAsia="bg-BG"/>
        </w:rPr>
        <w:t xml:space="preserve"> е включен в С</w:t>
      </w:r>
      <w:r w:rsidRPr="00723F8A">
        <w:rPr>
          <w:rFonts w:ascii="Times New Roman" w:eastAsia="Times New Roman" w:hAnsi="Times New Roman" w:cs="Times New Roman"/>
          <w:sz w:val="24"/>
          <w:szCs w:val="24"/>
          <w:lang w:val="ru-RU" w:eastAsia="bg-BG"/>
        </w:rPr>
        <w:t>писъка с активите, дейностите и услугите, за които са определени референтни разходи</w:t>
      </w:r>
      <w:r w:rsidR="0089466E">
        <w:rPr>
          <w:rFonts w:ascii="Times New Roman" w:eastAsia="Times New Roman" w:hAnsi="Times New Roman" w:cs="Times New Roman"/>
          <w:sz w:val="24"/>
          <w:szCs w:val="24"/>
          <w:lang w:val="ru-RU" w:eastAsia="bg-BG"/>
        </w:rPr>
        <w:t xml:space="preserve"> (Приложение № 17</w:t>
      </w:r>
      <w:r w:rsidR="0065465B">
        <w:rPr>
          <w:rFonts w:ascii="Times New Roman" w:eastAsia="Times New Roman" w:hAnsi="Times New Roman" w:cs="Times New Roman"/>
          <w:sz w:val="24"/>
          <w:szCs w:val="24"/>
          <w:lang w:val="ru-RU" w:eastAsia="bg-BG"/>
        </w:rPr>
        <w:t>)</w:t>
      </w:r>
      <w:r w:rsidRPr="00723F8A">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val="ru-RU" w:eastAsia="bg-BG"/>
        </w:rPr>
        <w:t>се представя е</w:t>
      </w:r>
      <w:r w:rsidRPr="00723F8A">
        <w:rPr>
          <w:rFonts w:ascii="Times New Roman" w:eastAsia="Times New Roman" w:hAnsi="Times New Roman" w:cs="Times New Roman"/>
          <w:sz w:val="24"/>
          <w:szCs w:val="24"/>
          <w:lang w:val="ru-RU" w:eastAsia="bg-BG"/>
        </w:rPr>
        <w:t>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w:t>
      </w:r>
      <w:r>
        <w:rPr>
          <w:rFonts w:ascii="Times New Roman" w:eastAsia="Times New Roman" w:hAnsi="Times New Roman" w:cs="Times New Roman"/>
          <w:sz w:val="24"/>
          <w:szCs w:val="24"/>
          <w:lang w:val="ru-RU" w:eastAsia="bg-BG"/>
        </w:rPr>
        <w:t>ДС.</w:t>
      </w:r>
    </w:p>
    <w:p w14:paraId="42D0CD9F" w14:textId="77777777" w:rsidR="00AD178C" w:rsidRDefault="00AD178C"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6311EE1D" w14:textId="0790F0EB"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Когато разходът, за който се кандидатства, не е включен в Списъка с активи, дейности и услуги, за които са определени ре</w:t>
      </w:r>
      <w:r>
        <w:rPr>
          <w:rFonts w:ascii="Times New Roman" w:eastAsia="Times New Roman" w:hAnsi="Times New Roman" w:cs="Times New Roman"/>
          <w:sz w:val="24"/>
          <w:szCs w:val="24"/>
          <w:lang w:val="ru-RU" w:eastAsia="bg-BG"/>
        </w:rPr>
        <w:t xml:space="preserve">ферентни разходи </w:t>
      </w:r>
      <w:r w:rsidR="0089466E">
        <w:rPr>
          <w:rFonts w:ascii="Times New Roman" w:eastAsia="Times New Roman" w:hAnsi="Times New Roman" w:cs="Times New Roman"/>
          <w:sz w:val="24"/>
          <w:szCs w:val="24"/>
          <w:lang w:val="ru-RU" w:eastAsia="bg-BG"/>
        </w:rPr>
        <w:t>(Приложение № 17</w:t>
      </w:r>
      <w:r w:rsidRPr="00AD178C">
        <w:rPr>
          <w:rFonts w:ascii="Times New Roman" w:eastAsia="Times New Roman" w:hAnsi="Times New Roman" w:cs="Times New Roman"/>
          <w:sz w:val="24"/>
          <w:szCs w:val="24"/>
          <w:lang w:val="ru-RU" w:eastAsia="bg-BG"/>
        </w:rPr>
        <w:t>) към датата на подаване на проектното предложение, обосноваността на разходите се преценява чрез представяне на най-малко три съпоставими независими индикативни оферти в оригинал:</w:t>
      </w:r>
    </w:p>
    <w:p w14:paraId="6C3336D3"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41E8A77A" w14:textId="03CB3B83"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b/>
          <w:sz w:val="24"/>
          <w:szCs w:val="24"/>
          <w:lang w:val="ru-RU" w:eastAsia="bg-BG"/>
        </w:rPr>
      </w:pPr>
      <w:r w:rsidRPr="00AD178C">
        <w:rPr>
          <w:rFonts w:ascii="Times New Roman" w:eastAsia="Times New Roman" w:hAnsi="Times New Roman" w:cs="Times New Roman"/>
          <w:b/>
          <w:sz w:val="24"/>
          <w:szCs w:val="24"/>
          <w:lang w:val="ru-RU" w:eastAsia="bg-BG"/>
        </w:rPr>
        <w:t>За кандидати – възложители по ЗОП</w:t>
      </w:r>
    </w:p>
    <w:p w14:paraId="26B6B1A3"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156DBE1A" w14:textId="77777777"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Кандидатите, които са възложители по чл. 5 и 6 от Закона за обществените поръчки, събират офертите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w:t>
      </w:r>
      <w:r w:rsidRPr="00AD178C">
        <w:rPr>
          <w:rFonts w:ascii="Times New Roman" w:eastAsia="Times New Roman" w:hAnsi="Times New Roman" w:cs="Times New Roman"/>
          <w:sz w:val="24"/>
          <w:szCs w:val="24"/>
          <w:lang w:val="ru-RU" w:eastAsia="bg-BG"/>
        </w:rPr>
        <w:lastRenderedPageBreak/>
        <w:t>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 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p w14:paraId="49C971A9" w14:textId="77777777"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501A4A1E"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2E22A990" w14:textId="76D62C6B"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В случаите когато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14:paraId="1B9A460E"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02CFC30C" w14:textId="6ED5A9C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b/>
          <w:sz w:val="24"/>
          <w:szCs w:val="24"/>
          <w:lang w:val="ru-RU" w:eastAsia="bg-BG"/>
        </w:rPr>
        <w:t>За кандидатите, които не са възложители по ЗОП:</w:t>
      </w:r>
    </w:p>
    <w:p w14:paraId="087E42CF"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777A4CA4" w14:textId="10E7B65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Кандидатите, които не са възложители по ЗОП извършват пазарно проучване чрез осигуряването на най-малко три съпоставими независими индикативни оферти в оригинал. Индикативните оферти се набират по изпратено запитване за индикативна оферта – съгласно Приложение </w:t>
      </w:r>
      <w:r w:rsidR="00D46603">
        <w:rPr>
          <w:rFonts w:ascii="Times New Roman" w:eastAsia="Times New Roman" w:hAnsi="Times New Roman" w:cs="Times New Roman"/>
          <w:sz w:val="24"/>
          <w:szCs w:val="24"/>
          <w:lang w:val="ru-RU" w:eastAsia="bg-BG"/>
        </w:rPr>
        <w:t xml:space="preserve">№ </w:t>
      </w:r>
      <w:r w:rsidR="00804921">
        <w:rPr>
          <w:rFonts w:ascii="Times New Roman" w:eastAsia="Times New Roman" w:hAnsi="Times New Roman" w:cs="Times New Roman"/>
          <w:sz w:val="24"/>
          <w:szCs w:val="24"/>
          <w:lang w:val="ru-RU" w:eastAsia="bg-BG"/>
        </w:rPr>
        <w:t>1</w:t>
      </w:r>
      <w:r w:rsidR="00A10B0D">
        <w:rPr>
          <w:rFonts w:ascii="Times New Roman" w:eastAsia="Times New Roman" w:hAnsi="Times New Roman" w:cs="Times New Roman"/>
          <w:sz w:val="24"/>
          <w:szCs w:val="24"/>
          <w:lang w:val="ru-RU" w:eastAsia="bg-BG"/>
        </w:rPr>
        <w:t>3</w:t>
      </w:r>
      <w:r w:rsidRPr="00AD178C">
        <w:rPr>
          <w:rFonts w:ascii="Times New Roman" w:eastAsia="Times New Roman" w:hAnsi="Times New Roman" w:cs="Times New Roman"/>
          <w:sz w:val="24"/>
          <w:szCs w:val="24"/>
          <w:lang w:val="ru-RU" w:eastAsia="bg-BG"/>
        </w:rPr>
        <w:t xml:space="preserve"> към Условията за кандидатстване.</w:t>
      </w:r>
    </w:p>
    <w:p w14:paraId="151B4E36" w14:textId="77777777" w:rsidR="00804921" w:rsidRPr="00AD178C" w:rsidRDefault="00804921"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29DB3302" w14:textId="6BB47D8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Кандидатът представя и решение за избор на доставчика/изпълнителя, запитване за оферта по образец съгласно приложение № </w:t>
      </w:r>
      <w:r w:rsidR="00804921">
        <w:rPr>
          <w:rFonts w:ascii="Times New Roman" w:eastAsia="Times New Roman" w:hAnsi="Times New Roman" w:cs="Times New Roman"/>
          <w:sz w:val="24"/>
          <w:szCs w:val="24"/>
          <w:lang w:val="ru-RU" w:eastAsia="bg-BG"/>
        </w:rPr>
        <w:t>1</w:t>
      </w:r>
      <w:r w:rsidR="002A55AE">
        <w:rPr>
          <w:rFonts w:ascii="Times New Roman" w:eastAsia="Times New Roman" w:hAnsi="Times New Roman" w:cs="Times New Roman"/>
          <w:sz w:val="24"/>
          <w:szCs w:val="24"/>
          <w:lang w:val="ru-RU" w:eastAsia="bg-BG"/>
        </w:rPr>
        <w:t>3</w:t>
      </w:r>
      <w:r w:rsidRPr="00AD178C">
        <w:rPr>
          <w:rFonts w:ascii="Times New Roman" w:eastAsia="Times New Roman" w:hAnsi="Times New Roman" w:cs="Times New Roman"/>
          <w:sz w:val="24"/>
          <w:szCs w:val="24"/>
          <w:lang w:val="ru-RU" w:eastAsia="bg-BG"/>
        </w:rPr>
        <w:t xml:space="preserve">, а когато не е избрал най-ниската оферта - писмена обосновка за мотивите, обусловили избора му. В тези случаи КППП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w:t>
      </w:r>
      <w:r w:rsidRPr="00AD178C">
        <w:rPr>
          <w:rFonts w:ascii="Times New Roman" w:eastAsia="Times New Roman" w:hAnsi="Times New Roman" w:cs="Times New Roman"/>
          <w:sz w:val="24"/>
          <w:szCs w:val="24"/>
          <w:lang w:val="ru-RU" w:eastAsia="bg-BG"/>
        </w:rPr>
        <w:lastRenderedPageBreak/>
        <w:t>кандидатът е представил мотивирана обосновка за направения избор, основан на икономическите особености и технически решения на строителния метод и/или предоставената услуга.</w:t>
      </w:r>
    </w:p>
    <w:p w14:paraId="7772889C" w14:textId="77777777" w:rsidR="00804921" w:rsidRPr="00AD178C" w:rsidRDefault="00804921"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59408ED8"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Когато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w:t>
      </w:r>
    </w:p>
    <w:p w14:paraId="779C95A2" w14:textId="17C4B5C0" w:rsidR="00645264" w:rsidRPr="00327E37" w:rsidRDefault="00CF24E1" w:rsidP="00327E37">
      <w:pPr>
        <w:pStyle w:val="Heading2"/>
      </w:pPr>
      <w:bookmarkStart w:id="44" w:name="_Toc534292217"/>
      <w:r w:rsidRPr="00327E37">
        <w:t>14.3</w:t>
      </w:r>
      <w:r w:rsidR="00645264" w:rsidRPr="00327E37">
        <w:t>. Недопустими разходи</w:t>
      </w:r>
      <w:bookmarkEnd w:id="43"/>
      <w:bookmarkEnd w:id="44"/>
    </w:p>
    <w:tbl>
      <w:tblPr>
        <w:tblStyle w:val="TableGrid"/>
        <w:tblW w:w="9640" w:type="dxa"/>
        <w:tblInd w:w="-147" w:type="dxa"/>
        <w:tblLook w:val="04A0" w:firstRow="1" w:lastRow="0" w:firstColumn="1" w:lastColumn="0" w:noHBand="0" w:noVBand="1"/>
      </w:tblPr>
      <w:tblGrid>
        <w:gridCol w:w="9640"/>
      </w:tblGrid>
      <w:tr w:rsidR="00645264" w:rsidRPr="007713C1" w14:paraId="3180B71C" w14:textId="77777777" w:rsidTr="00025F25">
        <w:tc>
          <w:tcPr>
            <w:tcW w:w="9640" w:type="dxa"/>
          </w:tcPr>
          <w:p w14:paraId="4D254F7A" w14:textId="0C3263BD"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 за лихви по дългове;</w:t>
            </w:r>
          </w:p>
          <w:p w14:paraId="2B66DD41"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2. за закупуването на незастроени и застроени земи на стойност над 10 на сто от общите допустими разходи за съответната операция;</w:t>
            </w:r>
          </w:p>
          <w:p w14:paraId="2442C99A"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3. за данък върху добавената стойност освен невъзстановимия;</w:t>
            </w:r>
          </w:p>
          <w:p w14:paraId="313CDB42"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4. за обикновена подмяна и поддръжка;</w:t>
            </w:r>
          </w:p>
          <w:p w14:paraId="06B4434E" w14:textId="77777777" w:rsidR="00614131"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5. за лихви и комисиони, печалба на лизинговата компания, разходи по лихви за рефинансиране, оперативни и застрахователни разходи по лизингов договор, за банкови такси, разходи за гаранции;</w:t>
            </w:r>
          </w:p>
          <w:p w14:paraId="4C86B00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6.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w:t>
            </w:r>
          </w:p>
          <w:p w14:paraId="661BA1DB"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7. за режийни разходи;</w:t>
            </w:r>
          </w:p>
          <w:p w14:paraId="4D1D39E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8. за застраховки;</w:t>
            </w:r>
          </w:p>
          <w:p w14:paraId="7544447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9. за закупуване на оборудване втора употреба;</w:t>
            </w:r>
          </w:p>
          <w:p w14:paraId="57035D6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10. извършени преди 1 януари 2014 г.;</w:t>
            </w:r>
          </w:p>
          <w:p w14:paraId="3722051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11. за принос в натура;</w:t>
            </w:r>
          </w:p>
          <w:p w14:paraId="2F2B103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12. за инвестиции в селското стопанство -закупуване на права за производство и плащане, закупуване на животни, закупуване на едногодишни растения и тяхното засаждане;</w:t>
            </w:r>
          </w:p>
          <w:p w14:paraId="2218D56F"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13. за инвестиция, за която е установено, че ще оказва отрицателно въздействие върху околната среда;</w:t>
            </w:r>
          </w:p>
          <w:p w14:paraId="2DC0CE8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14.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предпроектни проучвания, такси, възнаграждение на архитекти, инженери и консултантски услуги, извършени след 1 януари 2014 г.;</w:t>
            </w:r>
          </w:p>
          <w:p w14:paraId="58C0DF26" w14:textId="77777777" w:rsidR="00E9046C" w:rsidRPr="00E9046C" w:rsidRDefault="00E9046C" w:rsidP="00CD6823">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lastRenderedPageBreak/>
              <w:t>15. за строително-монтажни работи и за създаване на трайни насаждения, извършени преди посещение на място от МИГ</w:t>
            </w:r>
            <w:r w:rsidR="00B32714">
              <w:rPr>
                <w:rFonts w:eastAsiaTheme="minorHAnsi"/>
                <w:color w:val="000000"/>
                <w:sz w:val="24"/>
                <w:szCs w:val="24"/>
                <w:lang w:eastAsia="en-US"/>
              </w:rPr>
              <w:t>;</w:t>
            </w:r>
          </w:p>
          <w:p w14:paraId="5380B87D" w14:textId="470AE823" w:rsidR="00DC4D0D" w:rsidRDefault="00E9046C" w:rsidP="002B3C9E">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w:t>
            </w:r>
            <w:r w:rsidR="00CD6823">
              <w:rPr>
                <w:rFonts w:eastAsiaTheme="minorHAnsi"/>
                <w:color w:val="000000"/>
                <w:sz w:val="24"/>
                <w:szCs w:val="24"/>
                <w:lang w:eastAsia="en-US"/>
              </w:rPr>
              <w:t>6</w:t>
            </w:r>
            <w:r w:rsidRPr="00E9046C">
              <w:rPr>
                <w:rFonts w:eastAsiaTheme="minorHAnsi"/>
                <w:color w:val="000000"/>
                <w:sz w:val="24"/>
                <w:szCs w:val="24"/>
                <w:lang w:eastAsia="en-US"/>
              </w:rPr>
              <w:t xml:space="preserve">. </w:t>
            </w:r>
            <w:r w:rsidR="00DC4D0D" w:rsidRPr="00DC4D0D">
              <w:rPr>
                <w:rFonts w:eastAsiaTheme="minorHAnsi"/>
                <w:color w:val="000000"/>
                <w:sz w:val="24"/>
                <w:szCs w:val="24"/>
                <w:lang w:eastAsia="en-US"/>
              </w:rPr>
              <w:t xml:space="preserve">заявени за финансиране, когато надвишават </w:t>
            </w:r>
            <w:r w:rsidR="00DC4D0D">
              <w:rPr>
                <w:rFonts w:eastAsiaTheme="minorHAnsi"/>
                <w:color w:val="000000"/>
                <w:sz w:val="24"/>
                <w:szCs w:val="24"/>
                <w:lang w:eastAsia="en-US"/>
              </w:rPr>
              <w:t>определените референтни разходи;</w:t>
            </w:r>
          </w:p>
          <w:p w14:paraId="263745E2" w14:textId="5DA96815" w:rsidR="00E9046C" w:rsidRPr="00DC4D0D" w:rsidRDefault="00E9046C" w:rsidP="002B3C9E">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w:t>
            </w:r>
            <w:r w:rsidR="00CD6823">
              <w:rPr>
                <w:rFonts w:eastAsiaTheme="minorHAnsi"/>
                <w:color w:val="000000"/>
                <w:sz w:val="24"/>
                <w:szCs w:val="24"/>
                <w:lang w:eastAsia="en-US"/>
              </w:rPr>
              <w:t>7</w:t>
            </w:r>
            <w:r w:rsidRPr="00E9046C">
              <w:rPr>
                <w:rFonts w:eastAsiaTheme="minorHAnsi"/>
                <w:color w:val="000000"/>
                <w:sz w:val="24"/>
                <w:szCs w:val="24"/>
                <w:lang w:eastAsia="en-US"/>
              </w:rPr>
              <w:t xml:space="preserve">. други недопустими за финансиране разходи, определени в Постановление № </w:t>
            </w:r>
            <w:r w:rsidR="002B3C9E" w:rsidRPr="00E9046C">
              <w:rPr>
                <w:rFonts w:eastAsiaTheme="minorHAnsi"/>
                <w:color w:val="000000"/>
                <w:sz w:val="24"/>
                <w:szCs w:val="24"/>
                <w:lang w:eastAsia="en-US"/>
              </w:rPr>
              <w:t>1</w:t>
            </w:r>
            <w:r w:rsidR="002B3C9E">
              <w:rPr>
                <w:rFonts w:eastAsiaTheme="minorHAnsi"/>
                <w:color w:val="000000"/>
                <w:sz w:val="24"/>
                <w:szCs w:val="24"/>
                <w:lang w:eastAsia="en-US"/>
              </w:rPr>
              <w:t>8</w:t>
            </w:r>
            <w:r w:rsidR="002B3C9E" w:rsidRPr="00E9046C">
              <w:rPr>
                <w:rFonts w:eastAsiaTheme="minorHAnsi"/>
                <w:color w:val="000000"/>
                <w:sz w:val="24"/>
                <w:szCs w:val="24"/>
                <w:lang w:eastAsia="en-US"/>
              </w:rPr>
              <w:t xml:space="preserve">9 </w:t>
            </w:r>
            <w:r w:rsidRPr="00E9046C">
              <w:rPr>
                <w:rFonts w:eastAsiaTheme="minorHAnsi"/>
                <w:color w:val="000000"/>
                <w:sz w:val="24"/>
                <w:szCs w:val="24"/>
                <w:lang w:eastAsia="en-US"/>
              </w:rPr>
              <w:t xml:space="preserve">от </w:t>
            </w:r>
            <w:r w:rsidR="002B3C9E" w:rsidRPr="00E9046C">
              <w:rPr>
                <w:rFonts w:eastAsiaTheme="minorHAnsi"/>
                <w:color w:val="000000"/>
                <w:sz w:val="24"/>
                <w:szCs w:val="24"/>
                <w:lang w:eastAsia="en-US"/>
              </w:rPr>
              <w:t>201</w:t>
            </w:r>
            <w:r w:rsidR="002B3C9E">
              <w:rPr>
                <w:rFonts w:eastAsiaTheme="minorHAnsi"/>
                <w:color w:val="000000"/>
                <w:sz w:val="24"/>
                <w:szCs w:val="24"/>
                <w:lang w:eastAsia="en-US"/>
              </w:rPr>
              <w:t>6</w:t>
            </w:r>
            <w:r w:rsidR="002B3C9E" w:rsidRPr="00E9046C">
              <w:rPr>
                <w:rFonts w:eastAsiaTheme="minorHAnsi"/>
                <w:color w:val="000000"/>
                <w:sz w:val="24"/>
                <w:szCs w:val="24"/>
                <w:lang w:eastAsia="en-US"/>
              </w:rPr>
              <w:t xml:space="preserve"> </w:t>
            </w:r>
            <w:r w:rsidRPr="00E9046C">
              <w:rPr>
                <w:rFonts w:eastAsiaTheme="minorHAnsi"/>
                <w:color w:val="000000"/>
                <w:sz w:val="24"/>
                <w:szCs w:val="24"/>
                <w:lang w:eastAsia="en-US"/>
              </w:rPr>
              <w:t>г. на Министерския съвет</w:t>
            </w:r>
            <w:r w:rsidR="00CD6823">
              <w:rPr>
                <w:rFonts w:eastAsiaTheme="minorHAnsi"/>
                <w:color w:val="000000"/>
                <w:sz w:val="24"/>
                <w:szCs w:val="24"/>
                <w:lang w:eastAsia="en-US"/>
              </w:rPr>
              <w:t>.</w:t>
            </w:r>
          </w:p>
        </w:tc>
      </w:tr>
    </w:tbl>
    <w:p w14:paraId="22DA010D" w14:textId="77777777" w:rsidR="001A0477" w:rsidRDefault="001A0477" w:rsidP="007570DC">
      <w:pPr>
        <w:pStyle w:val="Heading1"/>
      </w:pPr>
      <w:bookmarkStart w:id="45" w:name="_Toc445385596"/>
    </w:p>
    <w:p w14:paraId="31FD7601" w14:textId="77777777" w:rsidR="00CB14EE" w:rsidRPr="007713C1" w:rsidRDefault="001D09EC" w:rsidP="007570DC">
      <w:pPr>
        <w:pStyle w:val="Heading1"/>
      </w:pPr>
      <w:bookmarkStart w:id="46" w:name="_Toc534292218"/>
      <w:r w:rsidRPr="007713C1">
        <w:t>15. Допустими целеви групи :</w:t>
      </w:r>
      <w:bookmarkEnd w:id="45"/>
      <w:bookmarkEnd w:id="46"/>
    </w:p>
    <w:tbl>
      <w:tblPr>
        <w:tblStyle w:val="TableGrid"/>
        <w:tblW w:w="0" w:type="auto"/>
        <w:tblLook w:val="04A0" w:firstRow="1" w:lastRow="0" w:firstColumn="1" w:lastColumn="0" w:noHBand="0" w:noVBand="1"/>
      </w:tblPr>
      <w:tblGrid>
        <w:gridCol w:w="9346"/>
      </w:tblGrid>
      <w:tr w:rsidR="001D09EC" w:rsidRPr="007713C1" w14:paraId="445DE00C" w14:textId="77777777" w:rsidTr="001D09EC">
        <w:tc>
          <w:tcPr>
            <w:tcW w:w="9496" w:type="dxa"/>
          </w:tcPr>
          <w:p w14:paraId="63A4CD1E" w14:textId="77777777" w:rsidR="001D09EC" w:rsidRPr="008B15C0" w:rsidRDefault="00B33636" w:rsidP="008B15C0">
            <w:pPr>
              <w:rPr>
                <w:sz w:val="24"/>
                <w:szCs w:val="24"/>
              </w:rPr>
            </w:pPr>
            <w:bookmarkStart w:id="47" w:name="_Toc481750872"/>
            <w:bookmarkStart w:id="48" w:name="_Toc481751367"/>
            <w:r w:rsidRPr="008B15C0">
              <w:rPr>
                <w:sz w:val="24"/>
                <w:szCs w:val="24"/>
              </w:rPr>
              <w:t>Неприложимо.</w:t>
            </w:r>
            <w:bookmarkEnd w:id="47"/>
            <w:bookmarkEnd w:id="48"/>
          </w:p>
        </w:tc>
      </w:tr>
    </w:tbl>
    <w:p w14:paraId="7A51CBA6" w14:textId="77777777" w:rsidR="00C44672" w:rsidRDefault="00C44672" w:rsidP="007570DC">
      <w:pPr>
        <w:pStyle w:val="Heading1"/>
      </w:pPr>
      <w:bookmarkStart w:id="49" w:name="_Toc445385601"/>
    </w:p>
    <w:p w14:paraId="606918A1" w14:textId="45F5C704" w:rsidR="001D09EC" w:rsidRPr="007713C1" w:rsidRDefault="00C51B04" w:rsidP="007570DC">
      <w:pPr>
        <w:pStyle w:val="Heading1"/>
      </w:pPr>
      <w:bookmarkStart w:id="50" w:name="_Toc534292219"/>
      <w:r>
        <w:t xml:space="preserve">16. Приложим режим на </w:t>
      </w:r>
      <w:r w:rsidR="00C26E17">
        <w:t>минимални</w:t>
      </w:r>
      <w:r w:rsidR="009B4E4D" w:rsidRPr="007713C1">
        <w:t xml:space="preserve"> помощи:</w:t>
      </w:r>
      <w:bookmarkEnd w:id="49"/>
      <w:bookmarkEnd w:id="50"/>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9B4E4D" w:rsidRPr="007713C1" w14:paraId="2129C1CE" w14:textId="77777777" w:rsidTr="0005252A">
        <w:tc>
          <w:tcPr>
            <w:tcW w:w="9493" w:type="dxa"/>
          </w:tcPr>
          <w:p w14:paraId="38A301B2" w14:textId="6BD235EE" w:rsidR="00E105F0" w:rsidRPr="00D40488" w:rsidRDefault="00F60917" w:rsidP="00D40488">
            <w:pPr>
              <w:spacing w:after="120"/>
              <w:jc w:val="both"/>
              <w:rPr>
                <w:i/>
                <w:sz w:val="24"/>
                <w:szCs w:val="24"/>
              </w:rPr>
            </w:pPr>
            <w:bookmarkStart w:id="51" w:name="_Toc498430186"/>
            <w:r w:rsidRPr="00D40488">
              <w:rPr>
                <w:b/>
                <w:i/>
                <w:sz w:val="24"/>
                <w:szCs w:val="24"/>
              </w:rPr>
              <w:t>1.</w:t>
            </w:r>
            <w:r w:rsidRPr="00D40488">
              <w:rPr>
                <w:b/>
                <w:i/>
                <w:sz w:val="24"/>
                <w:szCs w:val="24"/>
              </w:rPr>
              <w:tab/>
              <w:t>Строителство, реконструкция и/или рехабилитация на нови и съществуващи общински пътища, улици, тротоари и съоръженията и принадлежностите към тях.</w:t>
            </w:r>
            <w:bookmarkEnd w:id="51"/>
            <w:r w:rsidRPr="00D40488">
              <w:rPr>
                <w:b/>
                <w:i/>
                <w:sz w:val="24"/>
                <w:szCs w:val="24"/>
              </w:rPr>
              <w:t xml:space="preserve"> </w:t>
            </w:r>
            <w:bookmarkStart w:id="52" w:name="_Toc498430187"/>
            <w:r w:rsidR="00E105F0" w:rsidRPr="00D40488">
              <w:rPr>
                <w:b/>
                <w:i/>
                <w:sz w:val="24"/>
                <w:szCs w:val="24"/>
              </w:rPr>
              <w:t xml:space="preserve"> </w:t>
            </w:r>
            <w:r w:rsidRPr="00D40488">
              <w:rPr>
                <w:b/>
                <w:i/>
                <w:sz w:val="24"/>
                <w:szCs w:val="24"/>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bookmarkEnd w:id="52"/>
          </w:p>
          <w:p w14:paraId="3315E06B" w14:textId="52295537" w:rsidR="00F60917" w:rsidRPr="00E105F0" w:rsidRDefault="00F60917" w:rsidP="00E105F0">
            <w:pPr>
              <w:jc w:val="both"/>
              <w:rPr>
                <w:sz w:val="24"/>
                <w:szCs w:val="24"/>
              </w:rPr>
            </w:pPr>
            <w:bookmarkStart w:id="53" w:name="_Toc498430188"/>
            <w:r w:rsidRPr="00E105F0">
              <w:rPr>
                <w:sz w:val="24"/>
                <w:szCs w:val="24"/>
              </w:rPr>
              <w:t>Общинските улици, тротоари и площите за широко обществено ползване, за чия</w:t>
            </w:r>
            <w:r w:rsidR="00BE51F3">
              <w:rPr>
                <w:sz w:val="24"/>
                <w:szCs w:val="24"/>
              </w:rPr>
              <w:t>то реконструкция и/или рехабилит</w:t>
            </w:r>
            <w:r w:rsidRPr="00E105F0">
              <w:rPr>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bookmarkEnd w:id="53"/>
          </w:p>
          <w:p w14:paraId="022F5A77" w14:textId="77777777" w:rsidR="00F60917" w:rsidRPr="00EA40BD" w:rsidRDefault="00F60917" w:rsidP="00CE752F">
            <w:pPr>
              <w:spacing w:before="120" w:after="120"/>
              <w:jc w:val="both"/>
              <w:rPr>
                <w:color w:val="000000" w:themeColor="text1"/>
                <w:sz w:val="24"/>
                <w:szCs w:val="24"/>
              </w:rPr>
            </w:pPr>
            <w:r w:rsidRPr="00EA40BD">
              <w:rPr>
                <w:color w:val="000000" w:themeColor="text1"/>
                <w:sz w:val="24"/>
                <w:szCs w:val="24"/>
              </w:rPr>
              <w:t>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пътища, улици, тротоари и площите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14:paraId="5DCC42F7" w14:textId="77777777" w:rsidR="00F60917" w:rsidRPr="00EA40BD" w:rsidRDefault="00F60917" w:rsidP="00F60917">
            <w:pPr>
              <w:spacing w:before="120" w:after="120"/>
              <w:jc w:val="both"/>
              <w:rPr>
                <w:b/>
                <w:i/>
                <w:color w:val="000000" w:themeColor="text1"/>
                <w:sz w:val="24"/>
                <w:szCs w:val="24"/>
              </w:rPr>
            </w:pPr>
            <w:r w:rsidRPr="00EA40BD">
              <w:rPr>
                <w:b/>
                <w:i/>
                <w:color w:val="000000" w:themeColor="text1"/>
                <w:sz w:val="24"/>
                <w:szCs w:val="24"/>
              </w:rPr>
              <w:t xml:space="preserve"> 2.</w:t>
            </w:r>
            <w:r w:rsidRPr="00EA40BD">
              <w:rPr>
                <w:b/>
                <w:i/>
                <w:color w:val="000000" w:themeColor="text1"/>
                <w:sz w:val="24"/>
                <w:szCs w:val="24"/>
              </w:rPr>
              <w:tab/>
              <w:t>Реконструкция, ремонт, оборудване и/или обзавеждане на общинска образователна инфраструктура с местно значение в селските райони.</w:t>
            </w:r>
          </w:p>
          <w:p w14:paraId="0031E510" w14:textId="246E2484" w:rsidR="00F60917" w:rsidRPr="00EA40BD" w:rsidRDefault="00F60917" w:rsidP="00F60917">
            <w:pPr>
              <w:spacing w:before="120" w:after="120"/>
              <w:jc w:val="both"/>
              <w:rPr>
                <w:color w:val="000000" w:themeColor="text1"/>
                <w:sz w:val="24"/>
                <w:szCs w:val="24"/>
              </w:rPr>
            </w:pPr>
            <w:r w:rsidRPr="00EA40BD">
              <w:rPr>
                <w:color w:val="000000" w:themeColor="text1"/>
                <w:sz w:val="24"/>
                <w:szCs w:val="24"/>
              </w:rPr>
              <w:t>Общинската образователна инфраструктура е част от общественото образование</w:t>
            </w:r>
            <w:r w:rsidR="00E11072" w:rsidRPr="00EA40BD">
              <w:rPr>
                <w:color w:val="000000" w:themeColor="text1"/>
                <w:sz w:val="24"/>
                <w:szCs w:val="24"/>
              </w:rPr>
              <w:t>,</w:t>
            </w:r>
            <w:r w:rsidRPr="00EA40BD">
              <w:rPr>
                <w:color w:val="000000" w:themeColor="text1"/>
                <w:sz w:val="24"/>
                <w:szCs w:val="24"/>
              </w:rPr>
              <w:t xml:space="preserve"> организирано в рамките на националната образователна система. Обществено </w:t>
            </w:r>
            <w:r w:rsidRPr="00EA40BD">
              <w:rPr>
                <w:color w:val="000000" w:themeColor="text1"/>
                <w:sz w:val="24"/>
                <w:szCs w:val="24"/>
              </w:rPr>
              <w:lastRenderedPageBreak/>
              <w:t>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14:paraId="307BA0BD" w14:textId="2D127BE7" w:rsidR="00E11072" w:rsidRPr="00EA40BD" w:rsidRDefault="00F60917" w:rsidP="00CE752F">
            <w:pPr>
              <w:spacing w:before="120" w:after="120"/>
              <w:jc w:val="both"/>
              <w:rPr>
                <w:color w:val="000000" w:themeColor="text1"/>
                <w:sz w:val="24"/>
                <w:szCs w:val="24"/>
              </w:rPr>
            </w:pPr>
            <w:r w:rsidRPr="00EA40BD">
              <w:rPr>
                <w:color w:val="000000" w:themeColor="text1"/>
                <w:sz w:val="24"/>
                <w:szCs w:val="24"/>
              </w:rPr>
              <w:t xml:space="preserve">Местните власти са отговорни за предоставянето на образователни услуги в общинските детски градини, училищата и обслужващите звена. </w:t>
            </w:r>
            <w:r w:rsidR="00D33AA9">
              <w:rPr>
                <w:color w:val="000000" w:themeColor="text1"/>
                <w:sz w:val="24"/>
                <w:szCs w:val="24"/>
              </w:rPr>
              <w:t>В съответствие със</w:t>
            </w:r>
            <w:r w:rsidR="00D33AA9" w:rsidRPr="00EA40BD">
              <w:rPr>
                <w:color w:val="000000" w:themeColor="text1"/>
                <w:sz w:val="24"/>
                <w:szCs w:val="24"/>
              </w:rPr>
              <w:t xml:space="preserve"> </w:t>
            </w:r>
            <w:r w:rsidR="0085416D">
              <w:rPr>
                <w:color w:val="000000" w:themeColor="text1"/>
                <w:sz w:val="24"/>
                <w:szCs w:val="24"/>
              </w:rPr>
              <w:t xml:space="preserve">Закона за предучилищното и </w:t>
            </w:r>
            <w:r w:rsidR="00C453DA">
              <w:rPr>
                <w:color w:val="000000" w:themeColor="text1"/>
                <w:sz w:val="24"/>
                <w:szCs w:val="24"/>
              </w:rPr>
              <w:t xml:space="preserve">училишното образование </w:t>
            </w:r>
            <w:r w:rsidRPr="00EA40BD">
              <w:rPr>
                <w:color w:val="000000" w:themeColor="text1"/>
                <w:sz w:val="24"/>
                <w:szCs w:val="24"/>
              </w:rPr>
              <w:t>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14:paraId="5465C182" w14:textId="77777777" w:rsidR="00E11072" w:rsidRPr="00EA40BD" w:rsidRDefault="00E11072" w:rsidP="00E11072">
            <w:pPr>
              <w:spacing w:before="120" w:after="120"/>
              <w:jc w:val="both"/>
              <w:rPr>
                <w:b/>
                <w:i/>
                <w:color w:val="000000" w:themeColor="text1"/>
                <w:sz w:val="24"/>
                <w:szCs w:val="24"/>
              </w:rPr>
            </w:pPr>
            <w:r w:rsidRPr="00EA40BD">
              <w:rPr>
                <w:b/>
                <w:i/>
                <w:color w:val="000000" w:themeColor="text1"/>
                <w:sz w:val="24"/>
                <w:szCs w:val="24"/>
              </w:rPr>
              <w:t>3.</w:t>
            </w:r>
            <w:r w:rsidRPr="00EA40BD">
              <w:rPr>
                <w:b/>
                <w:i/>
                <w:color w:val="000000" w:themeColor="text1"/>
                <w:sz w:val="24"/>
                <w:szCs w:val="24"/>
              </w:rPr>
              <w:tab/>
              <w:t>Реконструкция и/или ремонт на общински сгради, в които се предоставят обществени услуги, с цел подобряване на тяхната енергийна ефективност.</w:t>
            </w:r>
          </w:p>
          <w:p w14:paraId="5EBD7E21" w14:textId="77777777" w:rsidR="00E11072" w:rsidRPr="00EA40BD" w:rsidRDefault="00E11072" w:rsidP="00E11072">
            <w:pPr>
              <w:spacing w:before="120" w:after="120"/>
              <w:jc w:val="both"/>
              <w:rPr>
                <w:color w:val="000000" w:themeColor="text1"/>
                <w:sz w:val="24"/>
                <w:szCs w:val="24"/>
              </w:rPr>
            </w:pPr>
            <w:r w:rsidRPr="00EA40BD">
              <w:rPr>
                <w:color w:val="000000" w:themeColor="text1"/>
                <w:sz w:val="24"/>
                <w:szCs w:val="24"/>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14:paraId="4D5DFD88" w14:textId="77777777" w:rsidR="00E11072" w:rsidRPr="00EA40BD" w:rsidRDefault="00E11072" w:rsidP="00E11072">
            <w:pPr>
              <w:spacing w:after="120"/>
              <w:jc w:val="both"/>
              <w:rPr>
                <w:color w:val="000000" w:themeColor="text1"/>
                <w:sz w:val="24"/>
                <w:szCs w:val="24"/>
              </w:rPr>
            </w:pPr>
            <w:r w:rsidRPr="00EA40BD">
              <w:rPr>
                <w:color w:val="000000" w:themeColor="text1"/>
                <w:sz w:val="24"/>
                <w:szCs w:val="24"/>
              </w:rPr>
              <w:t>Финансовото подпомагане е само за сгради, в които се предоставят обществени услуги.</w:t>
            </w:r>
          </w:p>
          <w:tbl>
            <w:tblPr>
              <w:tblpPr w:leftFromText="141" w:rightFromText="141"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111"/>
            </w:tblGrid>
            <w:tr w:rsidR="00CE6DFD" w14:paraId="1D3D6282" w14:textId="77777777" w:rsidTr="00CE6DFD">
              <w:trPr>
                <w:trHeight w:val="623"/>
              </w:trPr>
              <w:tc>
                <w:tcPr>
                  <w:tcW w:w="9111" w:type="dxa"/>
                  <w:shd w:val="clear" w:color="auto" w:fill="E7E6E6" w:themeFill="background2"/>
                  <w:vAlign w:val="center"/>
                </w:tcPr>
                <w:p w14:paraId="2E736D85" w14:textId="4911AFC0" w:rsidR="00CE6DFD" w:rsidRPr="00CE6DFD" w:rsidRDefault="00CE6DFD" w:rsidP="00113853">
                  <w:pPr>
                    <w:spacing w:after="120"/>
                    <w:jc w:val="both"/>
                    <w:rPr>
                      <w:rFonts w:ascii="Times New Roman" w:hAnsi="Times New Roman" w:cs="Times New Roman"/>
                      <w:color w:val="000000" w:themeColor="text1"/>
                      <w:sz w:val="24"/>
                      <w:szCs w:val="24"/>
                    </w:rPr>
                  </w:pPr>
                  <w:r w:rsidRPr="00CE6DFD">
                    <w:rPr>
                      <w:rFonts w:ascii="Times New Roman" w:hAnsi="Times New Roman" w:cs="Times New Roman"/>
                      <w:color w:val="000000" w:themeColor="text1"/>
                      <w:sz w:val="24"/>
                      <w:szCs w:val="24"/>
                    </w:rPr>
                    <w:t xml:space="preserve">Финансовото подпомагане по дейностите 1, 2 и 3 </w:t>
                  </w:r>
                  <w:r w:rsidRPr="00CE6DFD">
                    <w:rPr>
                      <w:rFonts w:ascii="Times New Roman" w:hAnsi="Times New Roman" w:cs="Times New Roman"/>
                      <w:b/>
                      <w:color w:val="000000" w:themeColor="text1"/>
                      <w:sz w:val="24"/>
                      <w:szCs w:val="24"/>
                    </w:rPr>
                    <w:t>няма да представлява „</w:t>
                  </w:r>
                  <w:r w:rsidR="00113853">
                    <w:rPr>
                      <w:rFonts w:ascii="Times New Roman" w:hAnsi="Times New Roman" w:cs="Times New Roman"/>
                      <w:b/>
                      <w:color w:val="000000" w:themeColor="text1"/>
                      <w:sz w:val="24"/>
                      <w:szCs w:val="24"/>
                    </w:rPr>
                    <w:t>минимална</w:t>
                  </w:r>
                  <w:r w:rsidRPr="00CE6DFD">
                    <w:rPr>
                      <w:rFonts w:ascii="Times New Roman" w:hAnsi="Times New Roman" w:cs="Times New Roman"/>
                      <w:b/>
                      <w:color w:val="000000" w:themeColor="text1"/>
                      <w:sz w:val="24"/>
                      <w:szCs w:val="24"/>
                    </w:rPr>
                    <w:t xml:space="preserve"> помощ“</w:t>
                  </w:r>
                  <w:r w:rsidRPr="00CE6DFD">
                    <w:rPr>
                      <w:rFonts w:ascii="Times New Roman" w:hAnsi="Times New Roman" w:cs="Times New Roman"/>
                      <w:color w:val="000000" w:themeColor="text1"/>
                      <w:sz w:val="24"/>
                      <w:szCs w:val="24"/>
                    </w:rPr>
                    <w:t xml:space="preserve"> по смисъла на </w:t>
                  </w:r>
                  <w:r w:rsidR="00113853">
                    <w:rPr>
                      <w:rFonts w:ascii="Times New Roman" w:hAnsi="Times New Roman" w:cs="Times New Roman"/>
                      <w:color w:val="000000" w:themeColor="text1"/>
                      <w:sz w:val="24"/>
                      <w:szCs w:val="24"/>
                    </w:rPr>
                    <w:t>Регламент (ЕС) № 1407/2013.</w:t>
                  </w:r>
                </w:p>
              </w:tc>
            </w:tr>
          </w:tbl>
          <w:p w14:paraId="1995B4FA" w14:textId="129BB312" w:rsidR="00E11072" w:rsidRDefault="00E11072" w:rsidP="00CE6DFD">
            <w:pPr>
              <w:jc w:val="both"/>
              <w:rPr>
                <w:color w:val="000000" w:themeColor="text1"/>
                <w:sz w:val="24"/>
                <w:szCs w:val="24"/>
              </w:rPr>
            </w:pPr>
          </w:p>
          <w:tbl>
            <w:tblPr>
              <w:tblpPr w:leftFromText="141" w:rightFromText="141"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111"/>
            </w:tblGrid>
            <w:tr w:rsidR="00CE6DFD" w14:paraId="0D73128F" w14:textId="77777777" w:rsidTr="00CE6DFD">
              <w:trPr>
                <w:trHeight w:val="623"/>
              </w:trPr>
              <w:tc>
                <w:tcPr>
                  <w:tcW w:w="9111" w:type="dxa"/>
                  <w:shd w:val="clear" w:color="auto" w:fill="E7E6E6" w:themeFill="background2"/>
                  <w:vAlign w:val="center"/>
                </w:tcPr>
                <w:p w14:paraId="6432D71B" w14:textId="13FBF765" w:rsidR="00CE6DFD" w:rsidRPr="00CE6DFD" w:rsidRDefault="00CE6DFD" w:rsidP="00CE6DFD">
                  <w:pPr>
                    <w:spacing w:after="120"/>
                    <w:jc w:val="both"/>
                    <w:rPr>
                      <w:rFonts w:ascii="Times New Roman" w:hAnsi="Times New Roman" w:cs="Times New Roman"/>
                      <w:color w:val="000000" w:themeColor="text1"/>
                      <w:sz w:val="24"/>
                      <w:szCs w:val="24"/>
                    </w:rPr>
                  </w:pPr>
                  <w:r w:rsidRPr="00CE6DFD">
                    <w:rPr>
                      <w:rFonts w:ascii="Times New Roman" w:hAnsi="Times New Roman" w:cs="Times New Roman"/>
                      <w:b/>
                      <w:color w:val="000000" w:themeColor="text1"/>
                      <w:sz w:val="24"/>
                      <w:szCs w:val="24"/>
                    </w:rPr>
                    <w:t>ВАЖНО!</w:t>
                  </w:r>
                  <w:r w:rsidRPr="00CE6DFD">
                    <w:rPr>
                      <w:rFonts w:ascii="Times New Roman" w:hAnsi="Times New Roman" w:cs="Times New Roman"/>
                      <w:color w:val="000000" w:themeColor="text1"/>
                      <w:sz w:val="24"/>
                      <w:szCs w:val="24"/>
                    </w:rPr>
                    <w:t xml:space="preserve"> Община Поморие </w:t>
                  </w:r>
                  <w:r w:rsidR="0085416D">
                    <w:rPr>
                      <w:rFonts w:ascii="Times New Roman" w:hAnsi="Times New Roman" w:cs="Times New Roman"/>
                      <w:color w:val="000000" w:themeColor="text1"/>
                      <w:sz w:val="24"/>
                      <w:szCs w:val="24"/>
                    </w:rPr>
                    <w:t xml:space="preserve">не може да ползва сградите, обект на интервенция за икономически дейности, вкл. да ги отдава под наем. </w:t>
                  </w:r>
                  <w:r w:rsidRPr="00CE6DFD">
                    <w:rPr>
                      <w:rFonts w:ascii="Times New Roman" w:hAnsi="Times New Roman" w:cs="Times New Roman"/>
                      <w:color w:val="000000" w:themeColor="text1"/>
                      <w:sz w:val="24"/>
                      <w:szCs w:val="24"/>
                    </w:rPr>
                    <w:t>В противен случай общината ще изпълнява икономическа дейност и съответно ще представлява предприятие по смисъла чл. 107 от ДФЕС</w:t>
                  </w:r>
                  <w:r w:rsidR="00945DBC">
                    <w:rPr>
                      <w:rFonts w:ascii="Times New Roman" w:hAnsi="Times New Roman" w:cs="Times New Roman"/>
                      <w:color w:val="000000" w:themeColor="text1"/>
                      <w:sz w:val="24"/>
                      <w:szCs w:val="24"/>
                    </w:rPr>
                    <w:t>.</w:t>
                  </w:r>
                </w:p>
              </w:tc>
            </w:tr>
          </w:tbl>
          <w:p w14:paraId="203DE6B8" w14:textId="2464B086" w:rsidR="00714D13" w:rsidRDefault="00714D13" w:rsidP="00CE6DFD">
            <w:pPr>
              <w:jc w:val="both"/>
              <w:rPr>
                <w:color w:val="FF0000"/>
                <w:sz w:val="24"/>
                <w:szCs w:val="24"/>
              </w:rPr>
            </w:pPr>
          </w:p>
          <w:p w14:paraId="5E2EA30C" w14:textId="77777777" w:rsidR="00CE6DFD" w:rsidRPr="00CE6DFD" w:rsidRDefault="00CE6DFD" w:rsidP="00CE6DFD">
            <w:pPr>
              <w:jc w:val="both"/>
              <w:rPr>
                <w:b/>
                <w:i/>
                <w:color w:val="000000" w:themeColor="text1"/>
                <w:sz w:val="24"/>
                <w:szCs w:val="24"/>
              </w:rPr>
            </w:pPr>
            <w:r w:rsidRPr="00CE6DFD">
              <w:rPr>
                <w:b/>
                <w:i/>
                <w:color w:val="000000" w:themeColor="text1"/>
                <w:sz w:val="24"/>
                <w:szCs w:val="24"/>
              </w:rPr>
              <w:t>4.</w:t>
            </w:r>
            <w:r w:rsidRPr="00CE6DFD">
              <w:rPr>
                <w:b/>
                <w:i/>
                <w:color w:val="000000" w:themeColor="text1"/>
                <w:sz w:val="24"/>
                <w:szCs w:val="24"/>
              </w:rPr>
              <w:tab/>
              <w:t xml:space="preserve"> 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включително транспортни средства.</w:t>
            </w:r>
          </w:p>
          <w:p w14:paraId="3E31FCAB" w14:textId="7BB0E85B" w:rsidR="00CE6DFD" w:rsidRPr="00CE6DFD" w:rsidRDefault="00CE6DFD" w:rsidP="00CE6DFD">
            <w:pPr>
              <w:jc w:val="both"/>
              <w:rPr>
                <w:b/>
                <w:i/>
                <w:color w:val="000000" w:themeColor="text1"/>
                <w:sz w:val="24"/>
                <w:szCs w:val="24"/>
              </w:rPr>
            </w:pPr>
            <w:r w:rsidRPr="00CE6DFD">
              <w:rPr>
                <w:b/>
                <w:i/>
                <w:color w:val="000000" w:themeColor="text1"/>
                <w:sz w:val="24"/>
                <w:szCs w:val="24"/>
              </w:rPr>
              <w:t xml:space="preserve">           Б) Изграждане, реконструкция, ремонт, оборудване и/или обзавеждане на спортна инфраструктура;</w:t>
            </w:r>
          </w:p>
          <w:p w14:paraId="01C8F5E4" w14:textId="4CCEE0D8" w:rsidR="00CE6DFD" w:rsidRDefault="00CE6DFD" w:rsidP="00945DBC">
            <w:pPr>
              <w:spacing w:after="120"/>
              <w:jc w:val="both"/>
              <w:rPr>
                <w:b/>
                <w:i/>
                <w:color w:val="000000" w:themeColor="text1"/>
                <w:sz w:val="24"/>
                <w:szCs w:val="24"/>
              </w:rPr>
            </w:pPr>
            <w:r w:rsidRPr="00CE6DFD">
              <w:rPr>
                <w:b/>
                <w:i/>
                <w:color w:val="000000" w:themeColor="text1"/>
                <w:sz w:val="24"/>
                <w:szCs w:val="24"/>
              </w:rPr>
              <w:t xml:space="preserve">           В) Изграждане, реконструкция, ремонт, реставрация, закупуване на оборудване и/или обзавеждане на обекти, свързани с културния живот, вкл. мобилни такива, вкл. </w:t>
            </w:r>
            <w:r w:rsidRPr="00CE6DFD">
              <w:rPr>
                <w:b/>
                <w:i/>
                <w:color w:val="000000" w:themeColor="text1"/>
                <w:sz w:val="24"/>
                <w:szCs w:val="24"/>
              </w:rPr>
              <w:lastRenderedPageBreak/>
              <w:t>и дейности по вертикалната планировка и подобряване на прилежащите пространства.</w:t>
            </w:r>
          </w:p>
          <w:p w14:paraId="64AEB37D" w14:textId="1392855C" w:rsidR="00FD62C9" w:rsidRDefault="00FD62C9" w:rsidP="00FD62C9">
            <w:pPr>
              <w:jc w:val="both"/>
              <w:rPr>
                <w:sz w:val="24"/>
                <w:szCs w:val="24"/>
                <w:highlight w:val="white"/>
                <w:shd w:val="clear" w:color="auto" w:fill="FEFEFE"/>
              </w:rPr>
            </w:pPr>
            <w:r w:rsidRPr="00FD62C9">
              <w:rPr>
                <w:sz w:val="24"/>
                <w:szCs w:val="24"/>
                <w:highlight w:val="white"/>
                <w:shd w:val="clear" w:color="auto" w:fill="FEFEFE"/>
              </w:rPr>
              <w:t xml:space="preserve">За </w:t>
            </w:r>
            <w:r w:rsidRPr="00FD62C9">
              <w:rPr>
                <w:sz w:val="24"/>
                <w:szCs w:val="24"/>
                <w:shd w:val="clear" w:color="auto" w:fill="FEFEFE"/>
              </w:rPr>
              <w:t xml:space="preserve">дейност 4, подточки А), Б) и В) </w:t>
            </w:r>
            <w:r w:rsidRPr="00FD62C9">
              <w:rPr>
                <w:sz w:val="24"/>
                <w:szCs w:val="24"/>
                <w:highlight w:val="white"/>
                <w:shd w:val="clear" w:color="auto" w:fill="FEFEFE"/>
              </w:rPr>
              <w:t>може да се определят два режима: „непомощ“ и „помощ“.</w:t>
            </w:r>
          </w:p>
          <w:p w14:paraId="7712CD38" w14:textId="77777777" w:rsidR="00FD62C9" w:rsidRPr="00FD62C9" w:rsidRDefault="00FD62C9" w:rsidP="00FD62C9">
            <w:pPr>
              <w:jc w:val="both"/>
              <w:rPr>
                <w:i/>
                <w:sz w:val="24"/>
                <w:szCs w:val="24"/>
                <w:highlight w:val="white"/>
                <w:shd w:val="clear" w:color="auto" w:fill="FEFEFE"/>
              </w:rPr>
            </w:pPr>
          </w:p>
          <w:p w14:paraId="251EAB72" w14:textId="5A2E58AC" w:rsidR="007C444B" w:rsidRDefault="00FD62C9" w:rsidP="00FD62C9">
            <w:pPr>
              <w:pBdr>
                <w:top w:val="single" w:sz="4" w:space="1" w:color="auto"/>
                <w:left w:val="single" w:sz="4" w:space="4" w:color="auto"/>
                <w:bottom w:val="single" w:sz="4" w:space="1" w:color="auto"/>
                <w:right w:val="single" w:sz="4" w:space="4" w:color="auto"/>
              </w:pBdr>
              <w:shd w:val="clear" w:color="auto" w:fill="BFBFBF"/>
              <w:contextualSpacing/>
              <w:jc w:val="both"/>
              <w:rPr>
                <w:rFonts w:eastAsia="Calibri"/>
                <w:b/>
                <w:sz w:val="24"/>
                <w:szCs w:val="24"/>
              </w:rPr>
            </w:pPr>
            <w:r w:rsidRPr="00FD62C9">
              <w:rPr>
                <w:rFonts w:eastAsia="Calibri"/>
                <w:b/>
                <w:sz w:val="24"/>
                <w:szCs w:val="24"/>
              </w:rPr>
              <w:t>За определянето на съответния режим е необходимо кандидатите да представят Декларация за генериране на</w:t>
            </w:r>
            <w:r w:rsidR="002A55AE">
              <w:rPr>
                <w:rFonts w:eastAsia="Calibri"/>
                <w:b/>
                <w:sz w:val="24"/>
                <w:szCs w:val="24"/>
              </w:rPr>
              <w:t xml:space="preserve"> нетни приходи  (Приложение № 8</w:t>
            </w:r>
            <w:r w:rsidRPr="00FD62C9">
              <w:rPr>
                <w:rFonts w:eastAsia="Calibri"/>
                <w:b/>
                <w:sz w:val="24"/>
                <w:szCs w:val="24"/>
              </w:rPr>
              <w:t xml:space="preserve"> към Условията за кандидатстване), с годишен финансово-счетоводен отчет, от който да е видно финансово-счетоводно (в т. ч. аналитично) обособяване на икономическата и неикономическа дейност (неприложимо за общини). </w:t>
            </w:r>
          </w:p>
          <w:p w14:paraId="41F7E57D" w14:textId="77777777" w:rsidR="007C444B" w:rsidRDefault="007C444B" w:rsidP="00FD62C9">
            <w:pPr>
              <w:pBdr>
                <w:top w:val="single" w:sz="4" w:space="1" w:color="auto"/>
                <w:left w:val="single" w:sz="4" w:space="4" w:color="auto"/>
                <w:bottom w:val="single" w:sz="4" w:space="1" w:color="auto"/>
                <w:right w:val="single" w:sz="4" w:space="4" w:color="auto"/>
              </w:pBdr>
              <w:shd w:val="clear" w:color="auto" w:fill="BFBFBF"/>
              <w:contextualSpacing/>
              <w:jc w:val="both"/>
              <w:rPr>
                <w:rFonts w:eastAsia="Calibri"/>
                <w:b/>
                <w:sz w:val="24"/>
                <w:szCs w:val="24"/>
              </w:rPr>
            </w:pPr>
          </w:p>
          <w:p w14:paraId="3F03FB1D" w14:textId="77777777" w:rsidR="00FD62C9" w:rsidRPr="00FD62C9" w:rsidRDefault="00FD62C9" w:rsidP="00FD62C9">
            <w:pPr>
              <w:tabs>
                <w:tab w:val="left" w:pos="851"/>
              </w:tabs>
              <w:ind w:hanging="108"/>
              <w:jc w:val="both"/>
              <w:rPr>
                <w:i/>
                <w:sz w:val="24"/>
                <w:szCs w:val="24"/>
                <w:highlight w:val="white"/>
                <w:u w:val="single"/>
                <w:shd w:val="clear" w:color="auto" w:fill="FEFEFE"/>
              </w:rPr>
            </w:pPr>
          </w:p>
          <w:p w14:paraId="16C56041" w14:textId="77777777" w:rsidR="00FD62C9" w:rsidRDefault="00FD62C9" w:rsidP="00FD62C9">
            <w:pPr>
              <w:widowControl w:val="0"/>
              <w:tabs>
                <w:tab w:val="left" w:pos="851"/>
              </w:tabs>
              <w:autoSpaceDE w:val="0"/>
              <w:autoSpaceDN w:val="0"/>
              <w:adjustRightInd w:val="0"/>
              <w:ind w:left="567" w:hanging="108"/>
              <w:jc w:val="both"/>
              <w:rPr>
                <w:sz w:val="24"/>
                <w:szCs w:val="24"/>
                <w:highlight w:val="white"/>
                <w:u w:val="single"/>
                <w:shd w:val="clear" w:color="auto" w:fill="FEFEFE"/>
              </w:rPr>
            </w:pPr>
            <w:r w:rsidRPr="00FD62C9">
              <w:rPr>
                <w:sz w:val="24"/>
                <w:szCs w:val="24"/>
                <w:highlight w:val="white"/>
                <w:u w:val="single"/>
                <w:shd w:val="clear" w:color="auto" w:fill="FEFEFE"/>
              </w:rPr>
              <w:t xml:space="preserve">Определяне на финансовото подпомагане като </w:t>
            </w:r>
            <w:r w:rsidRPr="00FD62C9">
              <w:rPr>
                <w:b/>
                <w:sz w:val="24"/>
                <w:szCs w:val="24"/>
                <w:highlight w:val="white"/>
                <w:u w:val="single"/>
                <w:shd w:val="clear" w:color="auto" w:fill="FEFEFE"/>
              </w:rPr>
              <w:t>„непомощ“.</w:t>
            </w:r>
            <w:r w:rsidRPr="00FD62C9">
              <w:rPr>
                <w:sz w:val="24"/>
                <w:szCs w:val="24"/>
                <w:highlight w:val="white"/>
                <w:u w:val="single"/>
                <w:shd w:val="clear" w:color="auto" w:fill="FEFEFE"/>
              </w:rPr>
              <w:t xml:space="preserve"> </w:t>
            </w:r>
          </w:p>
          <w:p w14:paraId="021787C8" w14:textId="77777777" w:rsidR="00232674" w:rsidRDefault="00232674" w:rsidP="00250470">
            <w:pPr>
              <w:spacing w:line="360" w:lineRule="auto"/>
              <w:jc w:val="both"/>
              <w:rPr>
                <w:sz w:val="24"/>
                <w:szCs w:val="24"/>
                <w:highlight w:val="white"/>
                <w:shd w:val="clear" w:color="auto" w:fill="FEFEFE"/>
              </w:rPr>
            </w:pPr>
          </w:p>
          <w:p w14:paraId="0975E012" w14:textId="77777777" w:rsidR="00232674" w:rsidRPr="00A54524" w:rsidRDefault="00232674" w:rsidP="00250470">
            <w:pPr>
              <w:spacing w:line="360" w:lineRule="auto"/>
              <w:jc w:val="both"/>
              <w:rPr>
                <w:i/>
                <w:sz w:val="24"/>
                <w:szCs w:val="24"/>
                <w:highlight w:val="white"/>
                <w:shd w:val="clear" w:color="auto" w:fill="FEFEFE"/>
              </w:rPr>
            </w:pPr>
            <w:r w:rsidRPr="00A54524">
              <w:rPr>
                <w:sz w:val="24"/>
                <w:szCs w:val="24"/>
                <w:highlight w:val="white"/>
                <w:shd w:val="clear" w:color="auto" w:fill="FEFEFE"/>
              </w:rPr>
              <w:t>В случай на финансово подпомагане когато:</w:t>
            </w:r>
          </w:p>
          <w:p w14:paraId="0A21BAEE"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и</w:t>
            </w:r>
            <w:r w:rsidRPr="00A54524">
              <w:rPr>
                <w:sz w:val="24"/>
                <w:szCs w:val="24"/>
                <w:highlight w:val="white"/>
                <w:shd w:val="clear" w:color="auto" w:fill="FEFEFE"/>
              </w:rPr>
              <w:t xml:space="preserve">нтервенциите са върху публични общински сгради от социалната или спортна инфраструктура, която е общинска собственост; </w:t>
            </w:r>
          </w:p>
          <w:p w14:paraId="4B0CEC44"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и</w:t>
            </w:r>
            <w:r w:rsidRPr="00A54524">
              <w:rPr>
                <w:sz w:val="24"/>
                <w:szCs w:val="24"/>
                <w:highlight w:val="white"/>
                <w:shd w:val="clear" w:color="auto" w:fill="FEFEFE"/>
              </w:rPr>
              <w:t>нтервенциите са върху обекти</w:t>
            </w:r>
            <w:r>
              <w:rPr>
                <w:sz w:val="24"/>
                <w:szCs w:val="24"/>
                <w:highlight w:val="white"/>
                <w:shd w:val="clear" w:color="auto" w:fill="FEFEFE"/>
              </w:rPr>
              <w:t>,</w:t>
            </w:r>
            <w:r w:rsidRPr="00A54524">
              <w:rPr>
                <w:sz w:val="24"/>
                <w:szCs w:val="24"/>
                <w:highlight w:val="white"/>
                <w:shd w:val="clear" w:color="auto" w:fill="FEFEFE"/>
              </w:rPr>
              <w:t xml:space="preserve"> свързани с културния живот, които са общинска собственост, читалища</w:t>
            </w:r>
            <w:r>
              <w:rPr>
                <w:sz w:val="24"/>
                <w:szCs w:val="24"/>
                <w:highlight w:val="white"/>
                <w:shd w:val="clear" w:color="auto" w:fill="FEFEFE"/>
              </w:rPr>
              <w:t>,</w:t>
            </w:r>
            <w:r w:rsidRPr="00A54524">
              <w:rPr>
                <w:sz w:val="24"/>
                <w:szCs w:val="24"/>
                <w:highlight w:val="white"/>
                <w:shd w:val="clear" w:color="auto" w:fill="FEFEFE"/>
              </w:rPr>
              <w:t xml:space="preserve"> музеи и библиотеки, архелогически обекти и др.;</w:t>
            </w:r>
          </w:p>
          <w:p w14:paraId="49D0C232"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с</w:t>
            </w:r>
            <w:r w:rsidRPr="00A54524">
              <w:rPr>
                <w:sz w:val="24"/>
                <w:szCs w:val="24"/>
                <w:highlight w:val="white"/>
                <w:shd w:val="clear" w:color="auto" w:fill="FEFEFE"/>
              </w:rPr>
              <w:t>оциалната инфраструктура е за предоставяне на услуги с неикономически характер;</w:t>
            </w:r>
          </w:p>
          <w:p w14:paraId="68B6DBAB"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с</w:t>
            </w:r>
            <w:r w:rsidRPr="00A54524">
              <w:rPr>
                <w:sz w:val="24"/>
                <w:szCs w:val="24"/>
                <w:highlight w:val="white"/>
                <w:shd w:val="clear" w:color="auto" w:fill="FEFEFE"/>
              </w:rPr>
              <w:t>порната инфраструктура е за услуги със свободен обществен достъп и с неикономически характер;</w:t>
            </w:r>
          </w:p>
          <w:p w14:paraId="4A16115A"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д</w:t>
            </w:r>
            <w:r w:rsidRPr="00A54524">
              <w:rPr>
                <w:sz w:val="24"/>
                <w:szCs w:val="24"/>
                <w:highlight w:val="white"/>
                <w:shd w:val="clear" w:color="auto" w:fill="FEFEFE"/>
              </w:rPr>
              <w:t>ейностите в тези културни обекти са организирани по нетърговски начин и са от нестопанско естество</w:t>
            </w:r>
            <w:r>
              <w:rPr>
                <w:sz w:val="24"/>
                <w:szCs w:val="24"/>
                <w:highlight w:val="white"/>
                <w:shd w:val="clear" w:color="auto" w:fill="FEFEFE"/>
              </w:rPr>
              <w:t>;</w:t>
            </w:r>
          </w:p>
          <w:p w14:paraId="486E48DA" w14:textId="38D7D8CD" w:rsidR="00232674" w:rsidRPr="00232674" w:rsidRDefault="00232674" w:rsidP="00250470">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sidRPr="00A54524">
              <w:rPr>
                <w:sz w:val="24"/>
                <w:szCs w:val="24"/>
                <w:highlight w:val="white"/>
                <w:shd w:val="clear" w:color="auto" w:fill="FEFEFE"/>
              </w:rPr>
              <w:t>и интервенцията има изключително локално въздействие и е предназначена за ползване само от населението в границите на населени места от</w:t>
            </w:r>
            <w:r>
              <w:rPr>
                <w:sz w:val="24"/>
                <w:szCs w:val="24"/>
                <w:highlight w:val="white"/>
                <w:shd w:val="clear" w:color="auto" w:fill="FEFEFE"/>
              </w:rPr>
              <w:t xml:space="preserve"> общината от територията на МИГ Поморие.</w:t>
            </w:r>
          </w:p>
          <w:p w14:paraId="36DBBDA9" w14:textId="2BE539B5" w:rsidR="00FD62C9" w:rsidRDefault="00FD62C9" w:rsidP="00FD62C9">
            <w:pPr>
              <w:contextualSpacing/>
              <w:jc w:val="both"/>
              <w:rPr>
                <w:rFonts w:eastAsia="Calibri"/>
                <w:sz w:val="24"/>
                <w:szCs w:val="24"/>
              </w:rPr>
            </w:pPr>
            <w:r w:rsidRPr="00FD62C9">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232674">
              <w:rPr>
                <w:rFonts w:eastAsia="Calibri"/>
                <w:sz w:val="24"/>
                <w:szCs w:val="24"/>
              </w:rPr>
              <w:t>Поморие.</w:t>
            </w:r>
          </w:p>
          <w:p w14:paraId="4BA50E35" w14:textId="77777777" w:rsidR="00232674" w:rsidRPr="00FD62C9" w:rsidRDefault="00232674" w:rsidP="00FD62C9">
            <w:pPr>
              <w:contextualSpacing/>
              <w:jc w:val="both"/>
              <w:rPr>
                <w:rFonts w:eastAsia="Calibri"/>
                <w:i/>
                <w:iCs/>
                <w:sz w:val="24"/>
                <w:szCs w:val="24"/>
              </w:rPr>
            </w:pPr>
          </w:p>
          <w:p w14:paraId="13E3A933" w14:textId="383B3A0E" w:rsidR="00232674" w:rsidRDefault="00FD62C9" w:rsidP="00FD62C9">
            <w:pPr>
              <w:contextualSpacing/>
              <w:jc w:val="both"/>
              <w:rPr>
                <w:rFonts w:eastAsia="Calibri"/>
                <w:sz w:val="24"/>
                <w:szCs w:val="24"/>
              </w:rPr>
            </w:pPr>
            <w:r w:rsidRPr="00FD62C9">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14:paraId="532EFF14" w14:textId="77777777" w:rsidR="00677AB1" w:rsidRDefault="00677AB1" w:rsidP="00FD62C9">
            <w:pPr>
              <w:contextualSpacing/>
              <w:jc w:val="both"/>
              <w:rPr>
                <w:rFonts w:eastAsia="Calibri"/>
                <w:sz w:val="24"/>
                <w:szCs w:val="24"/>
              </w:rPr>
            </w:pPr>
          </w:p>
          <w:p w14:paraId="4CFC93DB" w14:textId="77777777" w:rsidR="00677AB1" w:rsidRPr="00677AB1" w:rsidRDefault="00677AB1" w:rsidP="00FD62C9">
            <w:pPr>
              <w:contextualSpacing/>
              <w:jc w:val="both"/>
              <w:rPr>
                <w:rFonts w:eastAsia="Calibri"/>
                <w:b/>
                <w:sz w:val="24"/>
                <w:szCs w:val="24"/>
              </w:rPr>
            </w:pPr>
            <w:r w:rsidRPr="00677AB1">
              <w:rPr>
                <w:rFonts w:eastAsia="Calibri"/>
                <w:b/>
                <w:sz w:val="24"/>
                <w:szCs w:val="24"/>
              </w:rPr>
              <w:t>ВАЖНО!</w:t>
            </w:r>
          </w:p>
          <w:p w14:paraId="10C1207D" w14:textId="77777777" w:rsidR="00677AB1" w:rsidRDefault="00677AB1" w:rsidP="00FD62C9">
            <w:pPr>
              <w:contextualSpacing/>
              <w:jc w:val="both"/>
              <w:rPr>
                <w:rFonts w:eastAsia="Calibri"/>
                <w:i/>
                <w:iCs/>
                <w:sz w:val="24"/>
                <w:szCs w:val="24"/>
              </w:rPr>
            </w:pPr>
          </w:p>
          <w:p w14:paraId="1A2E9DE3" w14:textId="7989D548" w:rsidR="007C444B" w:rsidRPr="007C444B" w:rsidRDefault="007C444B" w:rsidP="00FD62C9">
            <w:pPr>
              <w:contextualSpacing/>
              <w:jc w:val="both"/>
              <w:rPr>
                <w:rFonts w:eastAsia="Calibri"/>
                <w:b/>
                <w:iCs/>
                <w:sz w:val="24"/>
                <w:szCs w:val="24"/>
              </w:rPr>
            </w:pPr>
            <w:r w:rsidRPr="007C444B">
              <w:rPr>
                <w:rFonts w:eastAsia="Calibri"/>
                <w:b/>
                <w:iCs/>
                <w:sz w:val="24"/>
                <w:szCs w:val="24"/>
              </w:rPr>
              <w:t>В случай на кандидатстване по дейност 4, подточки А), Б) и В) и при определяне на режим „непомощ“ община Поморие следва да представи освен Декларация за генериране на нетни приходи и обосновка във Формуляра за кандидатстване, т. 11. Допълнителна информация, от която да е видно, че предвидените за изпълнение дейности са с неикономически характер.</w:t>
            </w:r>
          </w:p>
          <w:p w14:paraId="37C823DE" w14:textId="77777777" w:rsidR="007C444B" w:rsidRPr="00FD62C9" w:rsidRDefault="007C444B" w:rsidP="00FD62C9">
            <w:pPr>
              <w:contextualSpacing/>
              <w:jc w:val="both"/>
              <w:rPr>
                <w:rFonts w:eastAsia="Calibri"/>
                <w:i/>
                <w:iCs/>
                <w:sz w:val="24"/>
                <w:szCs w:val="24"/>
              </w:rPr>
            </w:pPr>
          </w:p>
          <w:p w14:paraId="7249A239" w14:textId="77777777" w:rsidR="00FD62C9" w:rsidRPr="007C444B" w:rsidRDefault="00FD62C9" w:rsidP="00FD62C9">
            <w:pPr>
              <w:contextualSpacing/>
              <w:jc w:val="both"/>
              <w:rPr>
                <w:rFonts w:eastAsia="Calibri"/>
                <w:b/>
                <w:sz w:val="24"/>
                <w:szCs w:val="24"/>
              </w:rPr>
            </w:pPr>
            <w:r w:rsidRPr="00FD62C9">
              <w:rPr>
                <w:rFonts w:eastAsia="Calibri"/>
                <w:b/>
                <w:sz w:val="24"/>
                <w:szCs w:val="24"/>
              </w:rPr>
              <w:t xml:space="preserve">В случай на финансово подпомагане само за нестопански дейности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14:paraId="11DDC034" w14:textId="77777777" w:rsidR="00FD62C9" w:rsidRPr="00FD62C9" w:rsidRDefault="00FD62C9" w:rsidP="00FD62C9">
            <w:pPr>
              <w:contextualSpacing/>
              <w:jc w:val="both"/>
              <w:rPr>
                <w:rFonts w:eastAsia="Calibri"/>
                <w:i/>
                <w:iCs/>
                <w:sz w:val="24"/>
                <w:szCs w:val="24"/>
              </w:rPr>
            </w:pPr>
          </w:p>
          <w:p w14:paraId="0DE164EA" w14:textId="77777777" w:rsidR="00FD62C9" w:rsidRPr="00FD62C9" w:rsidRDefault="00FD62C9" w:rsidP="00FD62C9">
            <w:pPr>
              <w:pBdr>
                <w:top w:val="single" w:sz="4" w:space="2" w:color="auto"/>
                <w:left w:val="single" w:sz="4" w:space="4" w:color="auto"/>
                <w:bottom w:val="single" w:sz="4" w:space="1" w:color="auto"/>
                <w:right w:val="single" w:sz="4" w:space="4" w:color="auto"/>
              </w:pBdr>
              <w:shd w:val="clear" w:color="auto" w:fill="BFBFBF"/>
              <w:contextualSpacing/>
              <w:jc w:val="both"/>
              <w:rPr>
                <w:rFonts w:eastAsia="Calibri"/>
                <w:i/>
                <w:iCs/>
                <w:sz w:val="24"/>
                <w:szCs w:val="24"/>
              </w:rPr>
            </w:pPr>
            <w:r w:rsidRPr="00FD62C9">
              <w:rPr>
                <w:rFonts w:eastAsia="Calibri"/>
                <w:sz w:val="24"/>
                <w:szCs w:val="24"/>
              </w:rPr>
              <w:t xml:space="preserve">Финансовото подпомагане по горецитираните дейности </w:t>
            </w:r>
            <w:r w:rsidRPr="00FD62C9">
              <w:rPr>
                <w:rFonts w:eastAsia="Calibri"/>
                <w:b/>
                <w:sz w:val="24"/>
                <w:szCs w:val="24"/>
              </w:rPr>
              <w:t>няма да представлява „държавна помощ“</w:t>
            </w:r>
            <w:r w:rsidRPr="00FD62C9">
              <w:rPr>
                <w:rFonts w:eastAsia="Calibri"/>
                <w:sz w:val="24"/>
                <w:szCs w:val="24"/>
              </w:rPr>
              <w:t xml:space="preserve"> по смисъла на чл. 107, параграф 1 от ДФЕС.</w:t>
            </w:r>
          </w:p>
          <w:p w14:paraId="1AE91065" w14:textId="77777777" w:rsidR="00FD62C9" w:rsidRDefault="00FD62C9" w:rsidP="00FD62C9">
            <w:pPr>
              <w:contextualSpacing/>
              <w:jc w:val="both"/>
              <w:rPr>
                <w:rFonts w:eastAsia="Calibri"/>
                <w:i/>
                <w:iCs/>
                <w:sz w:val="24"/>
                <w:szCs w:val="24"/>
              </w:rPr>
            </w:pPr>
          </w:p>
          <w:p w14:paraId="4F726BE1" w14:textId="77777777" w:rsidR="00FD62C9" w:rsidRPr="00FD62C9" w:rsidRDefault="00FD62C9" w:rsidP="00FD62C9">
            <w:pPr>
              <w:contextualSpacing/>
              <w:jc w:val="both"/>
              <w:rPr>
                <w:rFonts w:eastAsia="Calibri"/>
                <w:i/>
                <w:iCs/>
                <w:sz w:val="24"/>
                <w:szCs w:val="24"/>
              </w:rPr>
            </w:pPr>
          </w:p>
          <w:p w14:paraId="7A26ACAF" w14:textId="77777777" w:rsidR="00FD62C9" w:rsidRDefault="00FD62C9" w:rsidP="00FD62C9">
            <w:pPr>
              <w:widowControl w:val="0"/>
              <w:tabs>
                <w:tab w:val="left" w:pos="851"/>
              </w:tabs>
              <w:autoSpaceDE w:val="0"/>
              <w:autoSpaceDN w:val="0"/>
              <w:adjustRightInd w:val="0"/>
              <w:ind w:left="567"/>
              <w:jc w:val="both"/>
              <w:rPr>
                <w:b/>
                <w:sz w:val="24"/>
                <w:szCs w:val="24"/>
                <w:highlight w:val="white"/>
                <w:u w:val="single"/>
                <w:shd w:val="clear" w:color="auto" w:fill="FEFEFE"/>
              </w:rPr>
            </w:pPr>
            <w:r w:rsidRPr="00FD62C9">
              <w:rPr>
                <w:sz w:val="24"/>
                <w:szCs w:val="24"/>
                <w:highlight w:val="white"/>
                <w:u w:val="single"/>
                <w:shd w:val="clear" w:color="auto" w:fill="FEFEFE"/>
              </w:rPr>
              <w:t xml:space="preserve">Определяне на финансовото подпомагане като </w:t>
            </w:r>
            <w:r w:rsidRPr="00FD62C9">
              <w:rPr>
                <w:b/>
                <w:sz w:val="24"/>
                <w:szCs w:val="24"/>
                <w:highlight w:val="white"/>
                <w:u w:val="single"/>
                <w:shd w:val="clear" w:color="auto" w:fill="FEFEFE"/>
              </w:rPr>
              <w:t>„помощ“.</w:t>
            </w:r>
          </w:p>
          <w:p w14:paraId="73A16E54" w14:textId="77777777" w:rsidR="00FD62C9" w:rsidRPr="00FD62C9" w:rsidRDefault="00FD62C9" w:rsidP="00FD62C9">
            <w:pPr>
              <w:widowControl w:val="0"/>
              <w:tabs>
                <w:tab w:val="left" w:pos="851"/>
              </w:tabs>
              <w:autoSpaceDE w:val="0"/>
              <w:autoSpaceDN w:val="0"/>
              <w:adjustRightInd w:val="0"/>
              <w:ind w:left="567"/>
              <w:jc w:val="both"/>
              <w:rPr>
                <w:i/>
                <w:sz w:val="24"/>
                <w:szCs w:val="24"/>
                <w:highlight w:val="white"/>
                <w:u w:val="single"/>
                <w:shd w:val="clear" w:color="auto" w:fill="FEFEFE"/>
              </w:rPr>
            </w:pPr>
          </w:p>
          <w:p w14:paraId="38BBA60B" w14:textId="77777777" w:rsidR="00FD62C9" w:rsidRDefault="00FD62C9" w:rsidP="00FD62C9">
            <w:pPr>
              <w:contextualSpacing/>
              <w:jc w:val="both"/>
              <w:rPr>
                <w:rFonts w:eastAsia="Calibri"/>
                <w:sz w:val="24"/>
                <w:szCs w:val="24"/>
              </w:rPr>
            </w:pPr>
            <w:r w:rsidRPr="00FD62C9">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FD62C9">
              <w:rPr>
                <w:rFonts w:eastAsia="Calibri"/>
                <w:b/>
                <w:sz w:val="24"/>
                <w:szCs w:val="24"/>
              </w:rPr>
              <w:t>представлява „държавна помощ“</w:t>
            </w:r>
            <w:r w:rsidRPr="00FD62C9">
              <w:rPr>
                <w:rFonts w:eastAsia="Calibri"/>
                <w:sz w:val="24"/>
                <w:szCs w:val="24"/>
              </w:rPr>
              <w:t xml:space="preserve"> по смисъла на чл. 107, параграф 1 от ДФЕС. </w:t>
            </w:r>
          </w:p>
          <w:p w14:paraId="72672C41" w14:textId="77777777" w:rsidR="0005252A" w:rsidRDefault="0005252A" w:rsidP="00FD62C9">
            <w:pPr>
              <w:contextualSpacing/>
              <w:jc w:val="both"/>
              <w:rPr>
                <w:rFonts w:eastAsia="Calibri"/>
                <w:sz w:val="24"/>
                <w:szCs w:val="24"/>
              </w:rPr>
            </w:pPr>
          </w:p>
          <w:p w14:paraId="45341E6F" w14:textId="77777777" w:rsidR="0005252A" w:rsidRPr="00C45CCE" w:rsidRDefault="0005252A" w:rsidP="0005252A">
            <w:pPr>
              <w:spacing w:after="160" w:line="259" w:lineRule="auto"/>
              <w:jc w:val="both"/>
              <w:rPr>
                <w:rFonts w:eastAsia="Calibri"/>
                <w:b/>
                <w:sz w:val="24"/>
                <w:szCs w:val="24"/>
              </w:rPr>
            </w:pPr>
            <w:r>
              <w:rPr>
                <w:b/>
                <w:sz w:val="24"/>
                <w:szCs w:val="24"/>
              </w:rPr>
              <w:t>ВАЖНО!</w:t>
            </w:r>
          </w:p>
          <w:p w14:paraId="040C5D80" w14:textId="77777777" w:rsidR="00062953" w:rsidRDefault="0005252A" w:rsidP="00062953">
            <w:pPr>
              <w:spacing w:before="120"/>
              <w:contextualSpacing/>
              <w:jc w:val="both"/>
              <w:rPr>
                <w:rFonts w:eastAsia="Calibri"/>
                <w:sz w:val="24"/>
                <w:szCs w:val="24"/>
              </w:rPr>
            </w:pPr>
            <w:r w:rsidRPr="00C45CCE">
              <w:rPr>
                <w:b/>
                <w:sz w:val="24"/>
                <w:szCs w:val="24"/>
                <w:lang w:val="ru-RU"/>
              </w:rPr>
              <w:t>За всички интервенции, когато бенефициентът действа като „предприятие“:</w:t>
            </w:r>
            <w:r w:rsidR="00062953" w:rsidRPr="00062953">
              <w:rPr>
                <w:rFonts w:eastAsia="Calibri"/>
                <w:sz w:val="24"/>
                <w:szCs w:val="24"/>
              </w:rPr>
              <w:t xml:space="preserve"> </w:t>
            </w:r>
          </w:p>
          <w:p w14:paraId="51872FA2" w14:textId="77777777" w:rsidR="00062953" w:rsidRPr="00062953" w:rsidRDefault="00062953" w:rsidP="00062953">
            <w:pPr>
              <w:spacing w:before="120"/>
              <w:contextualSpacing/>
              <w:jc w:val="both"/>
              <w:rPr>
                <w:rFonts w:eastAsia="Calibri"/>
                <w:sz w:val="24"/>
                <w:szCs w:val="24"/>
              </w:rPr>
            </w:pPr>
          </w:p>
          <w:p w14:paraId="4A3B393C" w14:textId="2C0285A1" w:rsidR="00062953" w:rsidRPr="008552BC"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8552BC">
              <w:rPr>
                <w:rFonts w:eastAsia="Calibri"/>
                <w:sz w:val="24"/>
                <w:szCs w:val="24"/>
              </w:rPr>
              <w:t>Прилага се Регламент № 1407/2013 за помощите представяни на предприятията от всички сектори с изключение на тези посочени в чл. 1</w:t>
            </w:r>
            <w:r w:rsidR="00DE672D">
              <w:rPr>
                <w:rFonts w:eastAsia="Calibri"/>
                <w:sz w:val="24"/>
                <w:szCs w:val="24"/>
                <w:lang w:val="en-US"/>
              </w:rPr>
              <w:t xml:space="preserve">, </w:t>
            </w:r>
            <w:r w:rsidR="00DE672D">
              <w:rPr>
                <w:rFonts w:eastAsia="Calibri"/>
                <w:sz w:val="24"/>
                <w:szCs w:val="24"/>
              </w:rPr>
              <w:t>пар.1, б. „а“, „б“, „в“ и „г“</w:t>
            </w:r>
            <w:r w:rsidRPr="008552BC">
              <w:rPr>
                <w:rFonts w:eastAsia="Calibri"/>
                <w:sz w:val="24"/>
                <w:szCs w:val="24"/>
              </w:rPr>
              <w:t xml:space="preserve"> и определенията за тях в чл. 2, пар. 1 на Регламента.</w:t>
            </w:r>
          </w:p>
          <w:p w14:paraId="5D0F9567" w14:textId="77777777" w:rsidR="00062953" w:rsidRPr="00062953" w:rsidRDefault="00062953" w:rsidP="00062953">
            <w:pPr>
              <w:spacing w:before="120"/>
              <w:jc w:val="both"/>
              <w:rPr>
                <w:rFonts w:eastAsia="Calibri"/>
                <w:sz w:val="24"/>
                <w:szCs w:val="24"/>
              </w:rPr>
            </w:pPr>
            <w:r w:rsidRPr="00062953">
              <w:rPr>
                <w:rFonts w:eastAsia="Calibri"/>
                <w:sz w:val="24"/>
                <w:szCs w:val="24"/>
              </w:rPr>
              <w:lastRenderedPageBreak/>
              <w:t>Предоставянето на помощта не може да е обвързано с преференциалното използване на национални продукти спрямо вносни такива.</w:t>
            </w:r>
          </w:p>
          <w:p w14:paraId="39E36BC2"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Общият размер на помощта de minimis, предоставена на едно и също предприятие, не може да надхвърля левовата равностойност на 200 000 евро за период от три бюджетни години.</w:t>
            </w:r>
          </w:p>
          <w:p w14:paraId="64A9B50F"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100 000 евро, за период от три бюджетни  години – текущата и предходните две. Тази помощ de minimis не може да се използва за придобиването на товарни автомобили за автомобилен транспорт.</w:t>
            </w:r>
          </w:p>
          <w:p w14:paraId="5D93FA82"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Съюза. </w:t>
            </w:r>
          </w:p>
          <w:p w14:paraId="10FE22F3"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14:paraId="008F6FF7"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на чл. 1 от Регламент (ЕС) № 1407/2013 не се ползват от помощи de minimis, предоставени в съответствие с Регламент (ЕС) № 1407/2013.</w:t>
            </w:r>
          </w:p>
          <w:p w14:paraId="19C7063D"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de minimis не се използват за придобиване на товарни автомобили.</w:t>
            </w:r>
          </w:p>
          <w:p w14:paraId="03470BC9"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14:paraId="579BD0C8"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0FA5780B"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предприятието кандидат;</w:t>
            </w:r>
          </w:p>
          <w:p w14:paraId="59FAF597"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lastRenderedPageBreak/>
              <w:t>• предприятията, с които предприятието кандидат образува „едно и също предприятие“</w:t>
            </w:r>
            <w:r w:rsidRPr="00062953">
              <w:rPr>
                <w:b/>
                <w:sz w:val="24"/>
                <w:szCs w:val="24"/>
                <w:vertAlign w:val="superscript"/>
                <w:lang w:eastAsia="pl-PL"/>
              </w:rPr>
              <w:t xml:space="preserve"> </w:t>
            </w:r>
            <w:r w:rsidRPr="00062953">
              <w:rPr>
                <w:b/>
                <w:sz w:val="24"/>
                <w:szCs w:val="24"/>
                <w:vertAlign w:val="superscript"/>
                <w:lang w:eastAsia="pl-PL"/>
              </w:rPr>
              <w:footnoteReference w:id="2"/>
            </w:r>
            <w:r w:rsidRPr="00062953">
              <w:rPr>
                <w:rFonts w:eastAsia="Calibri"/>
                <w:sz w:val="24"/>
                <w:szCs w:val="24"/>
              </w:rPr>
              <w:t xml:space="preserve"> по смисъла на чл. 2, пар. 2 на Регламент (ЕС) № 1407/2013;</w:t>
            </w:r>
          </w:p>
          <w:p w14:paraId="0BAC9985"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14:paraId="778A39DC"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14:paraId="0CDAB61E" w14:textId="77777777" w:rsidR="00062953" w:rsidRPr="00062953" w:rsidRDefault="00062953" w:rsidP="00062953">
            <w:pPr>
              <w:spacing w:before="120"/>
              <w:ind w:left="720"/>
              <w:contextualSpacing/>
              <w:jc w:val="both"/>
              <w:rPr>
                <w:rFonts w:eastAsia="Calibri"/>
                <w:sz w:val="24"/>
                <w:szCs w:val="24"/>
              </w:rPr>
            </w:pPr>
          </w:p>
          <w:p w14:paraId="3D8966D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(ЕС) № 1407/2013:</w:t>
            </w:r>
          </w:p>
          <w:p w14:paraId="5B3B9DBF" w14:textId="77777777" w:rsidR="00062953" w:rsidRPr="00062953" w:rsidRDefault="00062953" w:rsidP="00062953">
            <w:pPr>
              <w:spacing w:before="120"/>
              <w:contextualSpacing/>
              <w:jc w:val="both"/>
              <w:rPr>
                <w:rFonts w:eastAsia="Calibri"/>
                <w:sz w:val="24"/>
                <w:szCs w:val="24"/>
              </w:rPr>
            </w:pPr>
            <w:r w:rsidRPr="00062953">
              <w:rPr>
                <w:rFonts w:eastAsia="Calibri"/>
                <w:sz w:val="24"/>
                <w:szCs w:val="24"/>
              </w:rPr>
              <w:t>-</w:t>
            </w:r>
            <w:r w:rsidRPr="00062953">
              <w:rPr>
                <w:rFonts w:eastAsia="Calibri"/>
                <w:sz w:val="24"/>
                <w:szCs w:val="24"/>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w:t>
            </w:r>
            <w:r w:rsidRPr="00062953">
              <w:rPr>
                <w:rFonts w:eastAsia="Calibri"/>
                <w:sz w:val="24"/>
                <w:szCs w:val="24"/>
                <w:lang w:val="en-US"/>
              </w:rPr>
              <w:t>(</w:t>
            </w:r>
            <w:r w:rsidRPr="00062953">
              <w:rPr>
                <w:rFonts w:eastAsia="Calibri"/>
                <w:sz w:val="24"/>
                <w:szCs w:val="24"/>
              </w:rPr>
              <w:t>ЕС</w:t>
            </w:r>
            <w:r w:rsidRPr="00062953">
              <w:rPr>
                <w:rFonts w:eastAsia="Calibri"/>
                <w:sz w:val="24"/>
                <w:szCs w:val="24"/>
                <w:lang w:val="en-US"/>
              </w:rPr>
              <w:t>)</w:t>
            </w:r>
            <w:r w:rsidRPr="00062953">
              <w:rPr>
                <w:rFonts w:eastAsia="Calibri"/>
                <w:sz w:val="24"/>
                <w:szCs w:val="24"/>
              </w:rPr>
              <w:t xml:space="preserve">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14:paraId="191F9F73" w14:textId="77777777" w:rsidR="00062953" w:rsidRPr="00062953" w:rsidRDefault="00062953" w:rsidP="00062953">
            <w:pPr>
              <w:spacing w:before="120"/>
              <w:contextualSpacing/>
              <w:jc w:val="both"/>
              <w:rPr>
                <w:rFonts w:eastAsia="Calibri"/>
                <w:sz w:val="24"/>
                <w:szCs w:val="24"/>
              </w:rPr>
            </w:pPr>
            <w:r w:rsidRPr="00062953">
              <w:rPr>
                <w:rFonts w:eastAsia="Calibri"/>
                <w:sz w:val="24"/>
                <w:szCs w:val="24"/>
              </w:rPr>
              <w:t>-</w:t>
            </w:r>
            <w:r w:rsidRPr="00062953">
              <w:rPr>
                <w:rFonts w:eastAsia="Calibri"/>
                <w:sz w:val="24"/>
                <w:szCs w:val="24"/>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14:paraId="6D34CA4D"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bCs/>
                <w:sz w:val="24"/>
                <w:szCs w:val="24"/>
              </w:rPr>
              <w:lastRenderedPageBreak/>
              <w:t>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14:paraId="1D41EFC6"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bCs/>
                <w:sz w:val="24"/>
                <w:szCs w:val="24"/>
              </w:rPr>
            </w:pPr>
            <w:r w:rsidRPr="00062953">
              <w:rPr>
                <w:rFonts w:eastAsia="Calibri"/>
                <w:bCs/>
                <w:sz w:val="24"/>
                <w:szCs w:val="24"/>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14:paraId="059845E4" w14:textId="4DF17149"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За изпълнението на обстоятелствата кандидатите посочват данните за получени минимални помощи в Декларация за минимални помощи, попълнена по образец, част </w:t>
            </w:r>
            <w:r w:rsidR="009F1E96">
              <w:rPr>
                <w:rFonts w:eastAsia="Calibri"/>
                <w:sz w:val="24"/>
                <w:szCs w:val="24"/>
              </w:rPr>
              <w:t xml:space="preserve">от </w:t>
            </w:r>
            <w:r w:rsidR="009F1E96" w:rsidRPr="009F1E96">
              <w:rPr>
                <w:rFonts w:eastAsia="Calibri"/>
                <w:sz w:val="24"/>
                <w:szCs w:val="24"/>
              </w:rPr>
              <w:t xml:space="preserve">Условията за кандидатстване </w:t>
            </w:r>
            <w:r w:rsidRPr="00062953">
              <w:rPr>
                <w:rFonts w:eastAsia="Calibri"/>
                <w:sz w:val="24"/>
                <w:szCs w:val="24"/>
                <w:lang w:val="en-US"/>
              </w:rPr>
              <w:t>(</w:t>
            </w:r>
            <w:r w:rsidR="00053A39">
              <w:rPr>
                <w:rFonts w:eastAsia="Calibri"/>
                <w:sz w:val="24"/>
                <w:szCs w:val="24"/>
              </w:rPr>
              <w:t>Приложение № 12</w:t>
            </w:r>
            <w:r w:rsidRPr="00062953">
              <w:rPr>
                <w:rFonts w:eastAsia="Calibri"/>
                <w:sz w:val="24"/>
                <w:szCs w:val="24"/>
                <w:lang w:val="en-US"/>
              </w:rPr>
              <w:t>)</w:t>
            </w:r>
            <w:r w:rsidRPr="00062953">
              <w:rPr>
                <w:rFonts w:eastAsia="Calibri"/>
                <w:sz w:val="24"/>
                <w:szCs w:val="24"/>
              </w:rPr>
              <w:t>.</w:t>
            </w:r>
          </w:p>
          <w:p w14:paraId="3DBDEFD4"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i/>
                <w:sz w:val="24"/>
                <w:szCs w:val="24"/>
              </w:rPr>
            </w:pPr>
            <w:r w:rsidRPr="00062953">
              <w:rPr>
                <w:rFonts w:eastAsia="Calibri"/>
                <w:bCs/>
                <w:sz w:val="24"/>
                <w:szCs w:val="24"/>
              </w:rPr>
              <w:t>Цитираните по-горе условия на регламента се проверяват на етап административно съответствие и допустимост на проектното предложение.</w:t>
            </w:r>
          </w:p>
          <w:p w14:paraId="3AA6741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i/>
                <w:sz w:val="24"/>
                <w:szCs w:val="24"/>
              </w:rPr>
            </w:pPr>
            <w:r w:rsidRPr="00062953">
              <w:rPr>
                <w:rFonts w:eastAsia="Calibri"/>
                <w:bCs/>
                <w:sz w:val="24"/>
                <w:szCs w:val="24"/>
              </w:rPr>
              <w:t>За спазването на обстоятелствата се извършва</w:t>
            </w:r>
            <w:r w:rsidRPr="00062953">
              <w:rPr>
                <w:rFonts w:eastAsia="Calibri"/>
                <w:sz w:val="24"/>
                <w:szCs w:val="24"/>
              </w:rPr>
              <w:t xml:space="preserve"> проверка в Информационна система "Регистър на минималните помощи", Публичния регистър на Европейската комисия, </w:t>
            </w:r>
            <w:r w:rsidRPr="00062953">
              <w:rPr>
                <w:rFonts w:eastAsia="Calibri"/>
                <w:bCs/>
                <w:sz w:val="24"/>
                <w:szCs w:val="24"/>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 </w:t>
            </w:r>
          </w:p>
          <w:p w14:paraId="1EC0EC5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Периодът, който се проверява, във връзка с натрупването на минимални помощи, е три бюджетни години 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6A38098A"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r w:rsidRPr="00062953">
              <w:rPr>
                <w:rFonts w:eastAsia="Calibri"/>
                <w:sz w:val="24"/>
                <w:szCs w:val="24"/>
                <w:lang w:val="en-US"/>
              </w:rPr>
              <w:t>(</w:t>
            </w:r>
            <w:r w:rsidRPr="00062953">
              <w:rPr>
                <w:rFonts w:eastAsia="Calibri"/>
                <w:sz w:val="24"/>
                <w:szCs w:val="24"/>
              </w:rPr>
              <w:t xml:space="preserve">същият може да бъде намерен на </w:t>
            </w:r>
            <w:r w:rsidRPr="00062953">
              <w:rPr>
                <w:rFonts w:eastAsia="Calibri"/>
                <w:sz w:val="24"/>
                <w:szCs w:val="24"/>
                <w:lang w:val="en-US"/>
              </w:rPr>
              <w:t>www.stateaid.minfin.bg</w:t>
            </w:r>
            <w:r w:rsidRPr="00062953">
              <w:rPr>
                <w:rFonts w:eastAsia="Calibri"/>
                <w:sz w:val="24"/>
                <w:szCs w:val="24"/>
              </w:rPr>
              <w:t>/</w:t>
            </w:r>
            <w:r w:rsidRPr="00062953">
              <w:rPr>
                <w:rFonts w:eastAsia="Calibri"/>
                <w:sz w:val="24"/>
                <w:szCs w:val="24"/>
                <w:lang w:val="en-US"/>
              </w:rPr>
              <w:t>bg/page/424)</w:t>
            </w:r>
          </w:p>
          <w:p w14:paraId="02D2F2F7"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bCs/>
                <w:sz w:val="24"/>
                <w:szCs w:val="24"/>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71BF9C8F"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14:paraId="5EE607F2"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 Преди сключване на договор за предоставяне на безвъзмездна финансова помощ, Държавен фонд „Земеделие“ прилага подходящи контролни механизми, които да </w:t>
            </w:r>
            <w:r w:rsidRPr="00062953">
              <w:rPr>
                <w:rFonts w:eastAsia="Calibri"/>
                <w:sz w:val="24"/>
                <w:szCs w:val="24"/>
              </w:rPr>
              <w:lastRenderedPageBreak/>
              <w:t xml:space="preserve">гарантират изпълнението на всички приложими условия на Регламент (ЕС) № 1407/2013, включително ще извършва документална проверка на декларираните данни от одобрените кандидати в Декларацията за минимални помощи. </w:t>
            </w:r>
          </w:p>
          <w:p w14:paraId="39CBB258"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14:paraId="5685B53B"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В договора за безвъзмездна финансова помощ, съгласно чл. 16 и чл. 36 от Закона за държавни помощи </w:t>
            </w:r>
            <w:r w:rsidRPr="00062953">
              <w:rPr>
                <w:rFonts w:eastAsia="Calibri"/>
                <w:sz w:val="24"/>
                <w:szCs w:val="24"/>
                <w:lang w:val="en-US"/>
              </w:rPr>
              <w:t>(</w:t>
            </w:r>
            <w:r w:rsidRPr="00062953">
              <w:rPr>
                <w:rFonts w:eastAsia="Calibri"/>
                <w:sz w:val="24"/>
                <w:szCs w:val="24"/>
              </w:rPr>
              <w:t>обн. В ДВ 85 от 24.10.2017 г.</w:t>
            </w:r>
            <w:r w:rsidRPr="00062953">
              <w:rPr>
                <w:rFonts w:eastAsia="Calibri"/>
                <w:sz w:val="24"/>
                <w:szCs w:val="24"/>
                <w:lang w:val="en-US"/>
              </w:rPr>
              <w:t>)</w:t>
            </w:r>
            <w:r w:rsidRPr="00062953">
              <w:rPr>
                <w:rFonts w:eastAsia="Calibri"/>
                <w:sz w:val="24"/>
                <w:szCs w:val="24"/>
              </w:rPr>
              <w:t xml:space="preserve">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w:t>
            </w:r>
            <w:r w:rsidRPr="00062953">
              <w:rPr>
                <w:rFonts w:eastAsia="Calibri"/>
                <w:sz w:val="24"/>
                <w:szCs w:val="24"/>
                <w:lang w:val="en-US"/>
              </w:rPr>
              <w:t>(</w:t>
            </w:r>
            <w:r w:rsidRPr="00062953">
              <w:rPr>
                <w:rFonts w:eastAsia="Calibri"/>
                <w:sz w:val="24"/>
                <w:szCs w:val="24"/>
              </w:rPr>
              <w:t>например изискванията на чл. 6, пар. 4 и пар. 5</w:t>
            </w:r>
            <w:r w:rsidRPr="00062953">
              <w:rPr>
                <w:rFonts w:eastAsia="Calibri"/>
                <w:sz w:val="24"/>
                <w:szCs w:val="24"/>
                <w:lang w:val="en-US"/>
              </w:rPr>
              <w:t>)</w:t>
            </w:r>
            <w:r w:rsidRPr="00062953">
              <w:rPr>
                <w:rFonts w:eastAsia="Calibri"/>
                <w:sz w:val="24"/>
                <w:szCs w:val="24"/>
              </w:rPr>
              <w:t>,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w:t>
            </w:r>
          </w:p>
          <w:p w14:paraId="5C396953" w14:textId="796603DA"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бюджетни години, считано от датата на която е предоставена последната индивидуална помощ по схемата и да я предоставя при поискване в срок от 5 работни дни на МИГ</w:t>
            </w:r>
            <w:r w:rsidR="00B4173F">
              <w:rPr>
                <w:rFonts w:eastAsia="Calibri"/>
                <w:sz w:val="24"/>
                <w:szCs w:val="24"/>
              </w:rPr>
              <w:t xml:space="preserve"> Поморие</w:t>
            </w:r>
            <w:r w:rsidRPr="00062953">
              <w:rPr>
                <w:rFonts w:eastAsia="Calibri"/>
                <w:sz w:val="24"/>
                <w:szCs w:val="24"/>
              </w:rPr>
              <w:t xml:space="preserve"> или на Държавен фонд „Земеделие“.</w:t>
            </w:r>
          </w:p>
          <w:p w14:paraId="0DDC4A4E" w14:textId="77777777" w:rsidR="001A5DFD" w:rsidRDefault="00062953" w:rsidP="00D44BB9">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de minimis по смисъла на Регламента и на други регламенти за помощ de minimis, получена от всяко предприятие. </w:t>
            </w:r>
          </w:p>
          <w:p w14:paraId="67E39721" w14:textId="36253AF9" w:rsidR="001A5DFD" w:rsidRPr="00B4173F" w:rsidRDefault="001A5DFD" w:rsidP="00D44BB9">
            <w:pPr>
              <w:widowControl w:val="0"/>
              <w:autoSpaceDE w:val="0"/>
              <w:autoSpaceDN w:val="0"/>
              <w:adjustRightInd w:val="0"/>
              <w:spacing w:before="120" w:after="200" w:line="276" w:lineRule="auto"/>
              <w:contextualSpacing/>
              <w:jc w:val="both"/>
              <w:rPr>
                <w:rFonts w:eastAsia="Calibri"/>
                <w:sz w:val="24"/>
                <w:szCs w:val="24"/>
              </w:rPr>
            </w:pPr>
          </w:p>
        </w:tc>
      </w:tr>
    </w:tbl>
    <w:p w14:paraId="4A7B6C34" w14:textId="5C080C69" w:rsidR="00232674" w:rsidRPr="00232674" w:rsidRDefault="00232674" w:rsidP="00232674">
      <w:pPr>
        <w:spacing w:after="0" w:line="240" w:lineRule="auto"/>
        <w:contextualSpacing/>
        <w:jc w:val="both"/>
        <w:rPr>
          <w:rFonts w:ascii="Times New Roman" w:eastAsia="Calibri" w:hAnsi="Times New Roman" w:cs="Times New Roman"/>
          <w:sz w:val="24"/>
          <w:szCs w:val="24"/>
          <w:lang w:eastAsia="bg-BG"/>
        </w:rPr>
      </w:pPr>
      <w:bookmarkStart w:id="54" w:name="_Toc445385602"/>
    </w:p>
    <w:p w14:paraId="59FCB621" w14:textId="77777777" w:rsidR="009B4E4D" w:rsidRPr="007713C1" w:rsidRDefault="00F21DA5" w:rsidP="007570DC">
      <w:pPr>
        <w:pStyle w:val="Heading1"/>
      </w:pPr>
      <w:bookmarkStart w:id="55" w:name="_Toc534292220"/>
      <w:r w:rsidRPr="007713C1">
        <w:t>17. Хоризонтални политики</w:t>
      </w:r>
      <w:r w:rsidR="00C6489D" w:rsidRPr="007713C1">
        <w:t>:</w:t>
      </w:r>
      <w:bookmarkEnd w:id="54"/>
      <w:bookmarkEnd w:id="55"/>
    </w:p>
    <w:tbl>
      <w:tblPr>
        <w:tblStyle w:val="TableGrid"/>
        <w:tblW w:w="0" w:type="auto"/>
        <w:tblLook w:val="04A0" w:firstRow="1" w:lastRow="0" w:firstColumn="1" w:lastColumn="0" w:noHBand="0" w:noVBand="1"/>
      </w:tblPr>
      <w:tblGrid>
        <w:gridCol w:w="9346"/>
      </w:tblGrid>
      <w:tr w:rsidR="00C6489D" w:rsidRPr="007713C1" w14:paraId="6DD5EC6D" w14:textId="77777777" w:rsidTr="00C6489D">
        <w:tc>
          <w:tcPr>
            <w:tcW w:w="9496" w:type="dxa"/>
          </w:tcPr>
          <w:p w14:paraId="19433AE7" w14:textId="77777777" w:rsidR="00675456" w:rsidRPr="00675456" w:rsidRDefault="00675456" w:rsidP="00675456">
            <w:pPr>
              <w:jc w:val="both"/>
              <w:rPr>
                <w:sz w:val="24"/>
                <w:szCs w:val="24"/>
              </w:rPr>
            </w:pPr>
            <w:r w:rsidRPr="00675456">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4337633E" w14:textId="77777777" w:rsidR="00675456" w:rsidRPr="00675456" w:rsidRDefault="00675456" w:rsidP="00675456">
            <w:pPr>
              <w:jc w:val="both"/>
              <w:rPr>
                <w:sz w:val="24"/>
                <w:szCs w:val="24"/>
              </w:rPr>
            </w:pPr>
          </w:p>
          <w:p w14:paraId="3EE72B9F" w14:textId="77777777" w:rsidR="00675456" w:rsidRPr="00675456" w:rsidRDefault="00675456" w:rsidP="00675456">
            <w:pPr>
              <w:jc w:val="both"/>
              <w:rPr>
                <w:sz w:val="24"/>
                <w:szCs w:val="24"/>
              </w:rPr>
            </w:pPr>
            <w:r w:rsidRPr="00675456">
              <w:rPr>
                <w:sz w:val="24"/>
                <w:szCs w:val="24"/>
              </w:rPr>
              <w:t>1. Равенство между половете и липса на дискриминация</w:t>
            </w:r>
          </w:p>
          <w:p w14:paraId="45815465" w14:textId="77777777" w:rsidR="00675456" w:rsidRPr="00675456" w:rsidRDefault="00675456" w:rsidP="00675456">
            <w:pPr>
              <w:jc w:val="both"/>
              <w:rPr>
                <w:sz w:val="24"/>
                <w:szCs w:val="24"/>
              </w:rPr>
            </w:pPr>
          </w:p>
          <w:p w14:paraId="0D8F742C" w14:textId="561C2C60" w:rsidR="00675456" w:rsidRPr="00675456" w:rsidRDefault="00675456" w:rsidP="00675456">
            <w:pPr>
              <w:jc w:val="both"/>
              <w:rPr>
                <w:sz w:val="24"/>
                <w:szCs w:val="24"/>
              </w:rPr>
            </w:pPr>
            <w:r w:rsidRPr="00675456">
              <w:rPr>
                <w:sz w:val="24"/>
                <w:szCs w:val="24"/>
              </w:rPr>
              <w:lastRenderedPageBreak/>
              <w:t>При изпълнението на проектните дейности бенефицие</w:t>
            </w:r>
            <w:r w:rsidR="00FD5D8D">
              <w:rPr>
                <w:sz w:val="24"/>
                <w:szCs w:val="24"/>
              </w:rPr>
              <w:t>нтите следва да спазват принципите</w:t>
            </w:r>
            <w:r w:rsidRPr="00675456">
              <w:rPr>
                <w:sz w:val="24"/>
                <w:szCs w:val="24"/>
              </w:rPr>
              <w:t xml:space="preserve"> на равнопоставеността на половете и на равните възможности – т.е. при изпълнението на проектните дейности не трябва да бъдат поставяни ограничения, основани на пол, раса, народност, етническа принадлежност,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 др.</w:t>
            </w:r>
          </w:p>
          <w:p w14:paraId="5368686A" w14:textId="77777777" w:rsidR="00675456" w:rsidRPr="00675456" w:rsidRDefault="00675456" w:rsidP="00675456">
            <w:pPr>
              <w:jc w:val="both"/>
              <w:rPr>
                <w:sz w:val="24"/>
                <w:szCs w:val="24"/>
              </w:rPr>
            </w:pPr>
          </w:p>
          <w:p w14:paraId="677A9FB2" w14:textId="77777777" w:rsidR="00675456" w:rsidRPr="00675456" w:rsidRDefault="00675456" w:rsidP="00675456">
            <w:pPr>
              <w:jc w:val="both"/>
              <w:rPr>
                <w:sz w:val="24"/>
                <w:szCs w:val="24"/>
              </w:rPr>
            </w:pPr>
            <w:r w:rsidRPr="00675456">
              <w:rPr>
                <w:sz w:val="24"/>
                <w:szCs w:val="24"/>
              </w:rPr>
              <w:t>2. Устойчиво развитие (защита на околната среда)</w:t>
            </w:r>
          </w:p>
          <w:p w14:paraId="664D4CCC" w14:textId="77777777" w:rsidR="00675456" w:rsidRPr="00675456" w:rsidRDefault="00675456" w:rsidP="00675456">
            <w:pPr>
              <w:jc w:val="both"/>
              <w:rPr>
                <w:sz w:val="24"/>
                <w:szCs w:val="24"/>
              </w:rPr>
            </w:pPr>
          </w:p>
          <w:p w14:paraId="3E8825D8" w14:textId="77777777" w:rsidR="00675456" w:rsidRPr="00675456" w:rsidRDefault="00675456" w:rsidP="00675456">
            <w:pPr>
              <w:jc w:val="both"/>
              <w:rPr>
                <w:sz w:val="24"/>
                <w:szCs w:val="24"/>
              </w:rPr>
            </w:pPr>
            <w:r w:rsidRPr="00675456">
              <w:rPr>
                <w:sz w:val="24"/>
                <w:szCs w:val="24"/>
              </w:rPr>
              <w:t>Проектните предложения е желателно да бъдат насочени към постигането на устойчивост и опазване на околната среда. При избора на проекти за финансиране ще се дисквалифицират проекти, които имат негативно въздействие върху някой от компонентите на околната среда. Изпълнение на дейностите по мярката се допуска при спазване на националното природозащитно законодателство и след получаването на всички предвидени по закон разрешителни от компетентните органи.</w:t>
            </w:r>
          </w:p>
          <w:p w14:paraId="0820B35A" w14:textId="77777777" w:rsidR="00675456" w:rsidRPr="00675456" w:rsidRDefault="00675456" w:rsidP="00675456">
            <w:pPr>
              <w:jc w:val="both"/>
              <w:rPr>
                <w:sz w:val="24"/>
                <w:szCs w:val="24"/>
              </w:rPr>
            </w:pPr>
          </w:p>
          <w:p w14:paraId="698D3C0A" w14:textId="77777777" w:rsidR="00675456" w:rsidRPr="00675456" w:rsidRDefault="00675456" w:rsidP="00675456">
            <w:pPr>
              <w:jc w:val="both"/>
              <w:rPr>
                <w:sz w:val="24"/>
                <w:szCs w:val="24"/>
              </w:rPr>
            </w:pPr>
            <w:r w:rsidRPr="00675456">
              <w:rPr>
                <w:sz w:val="24"/>
                <w:szCs w:val="24"/>
              </w:rPr>
              <w:t>3. Насърчаване на заетостта и конкурентоспособността</w:t>
            </w:r>
          </w:p>
          <w:p w14:paraId="6A453C3F" w14:textId="77777777" w:rsidR="00675456" w:rsidRPr="00675456" w:rsidRDefault="00675456" w:rsidP="00675456">
            <w:pPr>
              <w:jc w:val="both"/>
              <w:rPr>
                <w:sz w:val="24"/>
                <w:szCs w:val="24"/>
              </w:rPr>
            </w:pPr>
          </w:p>
          <w:p w14:paraId="7D253D4F" w14:textId="3FA0EF8B" w:rsidR="00675456" w:rsidRPr="00675456" w:rsidRDefault="00675456" w:rsidP="00675456">
            <w:pPr>
              <w:jc w:val="both"/>
              <w:rPr>
                <w:sz w:val="24"/>
                <w:szCs w:val="24"/>
              </w:rPr>
            </w:pPr>
            <w:r w:rsidRPr="00675456">
              <w:rPr>
                <w:sz w:val="24"/>
                <w:szCs w:val="24"/>
              </w:rPr>
              <w:t>Целите, подцелите и приоритетите на СВОМР са директно насочени към насърчаване на заетостта и конкурентоспособността на територията на МИ</w:t>
            </w:r>
            <w:r w:rsidR="00FD5D8D">
              <w:rPr>
                <w:sz w:val="24"/>
                <w:szCs w:val="24"/>
              </w:rPr>
              <w:t>Г Поморие</w:t>
            </w:r>
            <w:r w:rsidRPr="00675456">
              <w:rPr>
                <w:sz w:val="24"/>
                <w:szCs w:val="24"/>
              </w:rPr>
              <w:t xml:space="preserve">. Стимулира се диферсифицирането на икономическите дейности и обвързването им с устойчиви практики. </w:t>
            </w:r>
          </w:p>
          <w:p w14:paraId="18AE0CA4" w14:textId="77777777" w:rsidR="00675456" w:rsidRPr="00675456" w:rsidRDefault="00675456" w:rsidP="00675456">
            <w:pPr>
              <w:jc w:val="both"/>
              <w:rPr>
                <w:sz w:val="24"/>
                <w:szCs w:val="24"/>
              </w:rPr>
            </w:pPr>
          </w:p>
          <w:p w14:paraId="23F7A086" w14:textId="6827BCAD" w:rsidR="00401464" w:rsidRPr="00E568E5" w:rsidRDefault="00675456" w:rsidP="00675456">
            <w:pPr>
              <w:jc w:val="both"/>
              <w:rPr>
                <w:sz w:val="24"/>
                <w:szCs w:val="24"/>
              </w:rPr>
            </w:pPr>
            <w:r w:rsidRPr="00675456">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0F78CDBD" w14:textId="77777777" w:rsidR="00446AA8" w:rsidRDefault="00446AA8" w:rsidP="007570DC">
      <w:pPr>
        <w:pStyle w:val="Heading1"/>
      </w:pPr>
      <w:bookmarkStart w:id="56" w:name="_Toc445385607"/>
    </w:p>
    <w:p w14:paraId="42DBF0D5" w14:textId="77777777" w:rsidR="004728F6" w:rsidRPr="007713C1" w:rsidRDefault="004728F6" w:rsidP="007570DC">
      <w:pPr>
        <w:pStyle w:val="Heading1"/>
      </w:pPr>
      <w:bookmarkStart w:id="57" w:name="_Toc534292221"/>
      <w:r w:rsidRPr="007713C1">
        <w:t>18. Минимален и максимален срок за изпълнение на проекта:</w:t>
      </w:r>
      <w:bookmarkEnd w:id="56"/>
      <w:bookmarkEnd w:id="57"/>
    </w:p>
    <w:tbl>
      <w:tblPr>
        <w:tblStyle w:val="TableGrid"/>
        <w:tblW w:w="0" w:type="auto"/>
        <w:tblLook w:val="04A0" w:firstRow="1" w:lastRow="0" w:firstColumn="1" w:lastColumn="0" w:noHBand="0" w:noVBand="1"/>
      </w:tblPr>
      <w:tblGrid>
        <w:gridCol w:w="9346"/>
      </w:tblGrid>
      <w:tr w:rsidR="00922478" w:rsidRPr="007713C1" w14:paraId="1D5ED454" w14:textId="77777777" w:rsidTr="00BE42E8">
        <w:tc>
          <w:tcPr>
            <w:tcW w:w="9346" w:type="dxa"/>
          </w:tcPr>
          <w:p w14:paraId="4A6AC8D5" w14:textId="4DA73370" w:rsidR="0031630B" w:rsidRPr="00A92938" w:rsidRDefault="0031630B" w:rsidP="0031630B">
            <w:pPr>
              <w:spacing w:before="120" w:after="120"/>
              <w:jc w:val="both"/>
              <w:rPr>
                <w:sz w:val="24"/>
                <w:szCs w:val="24"/>
              </w:rPr>
            </w:pPr>
            <w:r w:rsidRPr="0031630B">
              <w:rPr>
                <w:sz w:val="24"/>
                <w:szCs w:val="24"/>
              </w:rPr>
              <w:t>Продължителността на изпълнение на всеки проект не следва да на</w:t>
            </w:r>
            <w:r w:rsidR="00A92938">
              <w:rPr>
                <w:sz w:val="24"/>
                <w:szCs w:val="24"/>
              </w:rPr>
              <w:t>двишава 36 месеца.</w:t>
            </w:r>
          </w:p>
          <w:p w14:paraId="382277E8" w14:textId="7C5DADE8" w:rsidR="00C73460" w:rsidRPr="007713C1" w:rsidRDefault="0031630B" w:rsidP="0031630B">
            <w:pPr>
              <w:spacing w:before="120" w:after="120"/>
              <w:jc w:val="both"/>
              <w:rPr>
                <w:sz w:val="24"/>
                <w:szCs w:val="24"/>
              </w:rPr>
            </w:pPr>
            <w:r w:rsidRPr="0031630B">
              <w:rPr>
                <w:b/>
                <w:sz w:val="24"/>
                <w:szCs w:val="24"/>
              </w:rPr>
              <w:t>Крайният срок за изпълнение на дейностите по проектите към стратегият</w:t>
            </w:r>
            <w:r>
              <w:rPr>
                <w:b/>
                <w:sz w:val="24"/>
                <w:szCs w:val="24"/>
              </w:rPr>
              <w:t>а за ВОМР на МИГ</w:t>
            </w:r>
            <w:r w:rsidRPr="0031630B">
              <w:rPr>
                <w:b/>
                <w:sz w:val="24"/>
                <w:szCs w:val="24"/>
              </w:rPr>
              <w:t xml:space="preserve"> </w:t>
            </w:r>
            <w:r>
              <w:rPr>
                <w:b/>
                <w:sz w:val="24"/>
                <w:szCs w:val="24"/>
              </w:rPr>
              <w:t>Поморие</w:t>
            </w:r>
            <w:r w:rsidR="00572592">
              <w:rPr>
                <w:b/>
                <w:sz w:val="24"/>
                <w:szCs w:val="24"/>
              </w:rPr>
              <w:t xml:space="preserve"> е до 30 юни 2025</w:t>
            </w:r>
            <w:r w:rsidRPr="0031630B">
              <w:rPr>
                <w:b/>
                <w:sz w:val="24"/>
                <w:szCs w:val="24"/>
              </w:rPr>
              <w:t xml:space="preserve"> г.</w:t>
            </w:r>
          </w:p>
        </w:tc>
      </w:tr>
    </w:tbl>
    <w:p w14:paraId="6D6ADA91" w14:textId="77777777" w:rsidR="00BE42E8" w:rsidRPr="00D137FE" w:rsidRDefault="00BE42E8" w:rsidP="00245AA2">
      <w:pPr>
        <w:pStyle w:val="Heading1"/>
      </w:pPr>
      <w:bookmarkStart w:id="58" w:name="_Toc505614659"/>
      <w:bookmarkStart w:id="59" w:name="_Toc534292222"/>
      <w:bookmarkStart w:id="60" w:name="_Toc445385608"/>
      <w:r w:rsidRPr="00D137FE">
        <w:t>19. Ред за оценяване на концепциите за проектни предложения:</w:t>
      </w:r>
      <w:bookmarkEnd w:id="58"/>
      <w:bookmarkEnd w:id="59"/>
    </w:p>
    <w:tbl>
      <w:tblPr>
        <w:tblStyle w:val="TableGrid"/>
        <w:tblW w:w="0" w:type="auto"/>
        <w:tblLook w:val="04A0" w:firstRow="1" w:lastRow="0" w:firstColumn="1" w:lastColumn="0" w:noHBand="0" w:noVBand="1"/>
      </w:tblPr>
      <w:tblGrid>
        <w:gridCol w:w="9212"/>
      </w:tblGrid>
      <w:tr w:rsidR="00BE42E8" w:rsidRPr="00BE42E8" w14:paraId="0D4E275F" w14:textId="77777777" w:rsidTr="004D2204">
        <w:tc>
          <w:tcPr>
            <w:tcW w:w="9212" w:type="dxa"/>
          </w:tcPr>
          <w:p w14:paraId="374FD93F" w14:textId="77777777" w:rsidR="00BE42E8" w:rsidRPr="00D137FE" w:rsidRDefault="00BE42E8" w:rsidP="004D2204">
            <w:pPr>
              <w:rPr>
                <w:sz w:val="24"/>
                <w:szCs w:val="24"/>
              </w:rPr>
            </w:pPr>
            <w:r w:rsidRPr="00D137FE">
              <w:rPr>
                <w:sz w:val="24"/>
                <w:szCs w:val="24"/>
              </w:rPr>
              <w:t>Неприложимо</w:t>
            </w:r>
          </w:p>
        </w:tc>
      </w:tr>
    </w:tbl>
    <w:p w14:paraId="0A49270E" w14:textId="77777777" w:rsidR="00BE42E8" w:rsidRPr="00D137FE" w:rsidRDefault="00BE42E8" w:rsidP="00245AA2">
      <w:pPr>
        <w:pStyle w:val="Heading1"/>
      </w:pPr>
      <w:bookmarkStart w:id="61" w:name="_Toc505614660"/>
      <w:bookmarkStart w:id="62" w:name="_Toc534292223"/>
      <w:r w:rsidRPr="00D137FE">
        <w:lastRenderedPageBreak/>
        <w:t>20. Критерии и методика за оценка на концепциите за проектни предложения:</w:t>
      </w:r>
      <w:bookmarkEnd w:id="61"/>
      <w:bookmarkEnd w:id="62"/>
    </w:p>
    <w:tbl>
      <w:tblPr>
        <w:tblStyle w:val="TableGrid"/>
        <w:tblW w:w="0" w:type="auto"/>
        <w:tblLook w:val="04A0" w:firstRow="1" w:lastRow="0" w:firstColumn="1" w:lastColumn="0" w:noHBand="0" w:noVBand="1"/>
      </w:tblPr>
      <w:tblGrid>
        <w:gridCol w:w="9212"/>
      </w:tblGrid>
      <w:tr w:rsidR="00BE42E8" w:rsidRPr="00BE42E8" w14:paraId="50331EEA" w14:textId="77777777" w:rsidTr="004D2204">
        <w:tc>
          <w:tcPr>
            <w:tcW w:w="9212" w:type="dxa"/>
          </w:tcPr>
          <w:p w14:paraId="336BF8C3" w14:textId="77777777" w:rsidR="00BE42E8" w:rsidRPr="00D137FE" w:rsidRDefault="00BE42E8" w:rsidP="004D2204">
            <w:pPr>
              <w:rPr>
                <w:sz w:val="24"/>
                <w:szCs w:val="24"/>
              </w:rPr>
            </w:pPr>
            <w:r w:rsidRPr="00D137FE">
              <w:rPr>
                <w:sz w:val="24"/>
                <w:szCs w:val="24"/>
              </w:rPr>
              <w:t>Неприложимо</w:t>
            </w:r>
          </w:p>
        </w:tc>
      </w:tr>
    </w:tbl>
    <w:p w14:paraId="5B790D27" w14:textId="77777777" w:rsidR="00BE42E8" w:rsidRPr="00BE42E8" w:rsidRDefault="00BE42E8" w:rsidP="00D137FE"/>
    <w:p w14:paraId="086E693C" w14:textId="3573E55A" w:rsidR="00B2729A" w:rsidRDefault="00BE42E8" w:rsidP="00A13AAF">
      <w:pPr>
        <w:pStyle w:val="Heading1"/>
      </w:pPr>
      <w:bookmarkStart w:id="63" w:name="_Toc534292224"/>
      <w:r>
        <w:t>21</w:t>
      </w:r>
      <w:r w:rsidR="00FF0B9A" w:rsidRPr="007713C1">
        <w:t xml:space="preserve">. </w:t>
      </w:r>
      <w:bookmarkStart w:id="64" w:name="_Toc445385610"/>
      <w:bookmarkEnd w:id="60"/>
      <w:r w:rsidR="007C2DB2" w:rsidRPr="007713C1">
        <w:t>Ред за оценяване на проектните предложения:</w:t>
      </w:r>
      <w:bookmarkEnd w:id="63"/>
      <w:bookmarkEnd w:id="64"/>
    </w:p>
    <w:tbl>
      <w:tblPr>
        <w:tblStyle w:val="TableGrid"/>
        <w:tblW w:w="0" w:type="auto"/>
        <w:tblLook w:val="04A0" w:firstRow="1" w:lastRow="0" w:firstColumn="1" w:lastColumn="0" w:noHBand="0" w:noVBand="1"/>
      </w:tblPr>
      <w:tblGrid>
        <w:gridCol w:w="9212"/>
      </w:tblGrid>
      <w:tr w:rsidR="00B2729A" w:rsidRPr="00A2252C" w14:paraId="24B2F0DA" w14:textId="77777777" w:rsidTr="004D2204">
        <w:tc>
          <w:tcPr>
            <w:tcW w:w="9212" w:type="dxa"/>
          </w:tcPr>
          <w:p w14:paraId="54616A6A" w14:textId="411640F9" w:rsidR="005225F3" w:rsidRDefault="005225F3" w:rsidP="005225F3">
            <w:pPr>
              <w:jc w:val="both"/>
              <w:rPr>
                <w:sz w:val="24"/>
                <w:szCs w:val="24"/>
              </w:rPr>
            </w:pPr>
            <w:r w:rsidRPr="005225F3">
              <w:rPr>
                <w:sz w:val="24"/>
                <w:szCs w:val="24"/>
              </w:rPr>
              <w:t xml:space="preserve">Подборът на проектни предложения, финансирани от ЕЗФРСР към стратегия за ВОМР на МИГ Поморие се извършва по условията и реда на раздел I "Подбор на проекти към стратегия за ВОМР" от глава пета от ПМС № 161 на МС от 04.07.2016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 </w:t>
            </w:r>
          </w:p>
          <w:p w14:paraId="73336A0E" w14:textId="77777777" w:rsidR="005225F3" w:rsidRPr="005225F3" w:rsidRDefault="005225F3" w:rsidP="005225F3">
            <w:pPr>
              <w:jc w:val="both"/>
              <w:rPr>
                <w:sz w:val="24"/>
                <w:szCs w:val="24"/>
              </w:rPr>
            </w:pPr>
          </w:p>
          <w:p w14:paraId="08C5BB66" w14:textId="55792DB8" w:rsidR="00B2729A" w:rsidRPr="00BC2D4C" w:rsidRDefault="005225F3" w:rsidP="00BC2D4C">
            <w:pPr>
              <w:jc w:val="both"/>
              <w:rPr>
                <w:sz w:val="24"/>
                <w:szCs w:val="24"/>
              </w:rPr>
            </w:pPr>
            <w:r w:rsidRPr="005225F3">
              <w:rPr>
                <w:sz w:val="24"/>
                <w:szCs w:val="24"/>
              </w:rPr>
              <w:t xml:space="preserve">Пълната информация относно оценяването и класирането на проектните предложения се съдържа в раздел „Ред за оценка на проектни предложения“, документ “Ред за оценка на проектни предложения по Програма за развитие на селските райони 2014-2020 г.”, публикуван на сайта на МИГ-Поморие </w:t>
            </w:r>
            <w:hyperlink r:id="rId22" w:history="1">
              <w:r w:rsidR="00B82F18" w:rsidRPr="009F010F">
                <w:rPr>
                  <w:rStyle w:val="Hyperlink"/>
                  <w:sz w:val="24"/>
                  <w:szCs w:val="24"/>
                </w:rPr>
                <w:t>www.mig-pomorie.eu</w:t>
              </w:r>
            </w:hyperlink>
            <w:r w:rsidRPr="005225F3">
              <w:rPr>
                <w:sz w:val="24"/>
                <w:szCs w:val="24"/>
              </w:rPr>
              <w:t>.</w:t>
            </w:r>
          </w:p>
        </w:tc>
      </w:tr>
    </w:tbl>
    <w:p w14:paraId="0E369D57" w14:textId="77777777" w:rsidR="00B2729A" w:rsidRDefault="00B2729A" w:rsidP="00D137FE"/>
    <w:p w14:paraId="6B15E73C" w14:textId="77777777" w:rsidR="00E52E5A" w:rsidRDefault="00E52E5A" w:rsidP="00D137FE"/>
    <w:p w14:paraId="4254D43F" w14:textId="77777777" w:rsidR="00E52E5A" w:rsidRDefault="00E52E5A" w:rsidP="00D137FE"/>
    <w:p w14:paraId="4B5F3AA5" w14:textId="77777777" w:rsidR="00E52E5A" w:rsidRDefault="00E52E5A" w:rsidP="00D137FE"/>
    <w:p w14:paraId="1F59A9E7" w14:textId="77777777" w:rsidR="00E52E5A" w:rsidRDefault="00E52E5A" w:rsidP="00D137FE"/>
    <w:p w14:paraId="0EC7C651" w14:textId="6E528A8E" w:rsidR="00B2729A" w:rsidRPr="00B2729A" w:rsidRDefault="00A13AAF" w:rsidP="00D137FE">
      <w:pPr>
        <w:pStyle w:val="Heading2"/>
      </w:pPr>
      <w:bookmarkStart w:id="65" w:name="_Toc505614663"/>
      <w:bookmarkStart w:id="66" w:name="_Toc534292225"/>
      <w:r w:rsidRPr="00D137FE">
        <w:t>21.1. Оценка на административното съответствие и допустимост:</w:t>
      </w:r>
      <w:bookmarkEnd w:id="65"/>
      <w:bookmarkEnd w:id="66"/>
    </w:p>
    <w:tbl>
      <w:tblPr>
        <w:tblStyle w:val="TableGrid"/>
        <w:tblW w:w="9498" w:type="dxa"/>
        <w:tblInd w:w="-147" w:type="dxa"/>
        <w:tblLook w:val="04A0" w:firstRow="1" w:lastRow="0" w:firstColumn="1" w:lastColumn="0" w:noHBand="0" w:noVBand="1"/>
      </w:tblPr>
      <w:tblGrid>
        <w:gridCol w:w="9498"/>
      </w:tblGrid>
      <w:tr w:rsidR="007C2DB2" w:rsidRPr="007713C1" w14:paraId="1295B7B2" w14:textId="77777777" w:rsidTr="00C12D0A">
        <w:tc>
          <w:tcPr>
            <w:tcW w:w="9498" w:type="dxa"/>
          </w:tcPr>
          <w:p w14:paraId="1F78E3A7" w14:textId="05C71B20" w:rsidR="00D77C81" w:rsidRDefault="00D77C81" w:rsidP="00D77C81"/>
          <w:p w14:paraId="0E070426"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3"/>
            </w:r>
            <w:r w:rsidRPr="0094785F">
              <w:rPr>
                <w:sz w:val="24"/>
                <w:szCs w:val="24"/>
              </w:rPr>
              <w:t xml:space="preserve"> по чл.41, ал.2 от ПМС 161/2016 г.</w:t>
            </w:r>
            <w:r w:rsidRPr="0094785F">
              <w:rPr>
                <w:rFonts w:eastAsia="Calibri"/>
                <w:sz w:val="24"/>
                <w:szCs w:val="24"/>
                <w:lang w:eastAsia="en-US"/>
              </w:rPr>
              <w:t xml:space="preserve"> </w:t>
            </w:r>
          </w:p>
          <w:p w14:paraId="3E36ED83" w14:textId="77777777" w:rsidR="00697F20" w:rsidRDefault="00697F20" w:rsidP="00697F20">
            <w:pPr>
              <w:jc w:val="both"/>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14:paraId="7AA2EC3B" w14:textId="77777777" w:rsidR="00BC2D4C" w:rsidRPr="0094785F" w:rsidRDefault="00BC2D4C" w:rsidP="00697F20">
            <w:pPr>
              <w:jc w:val="both"/>
              <w:rPr>
                <w:sz w:val="24"/>
                <w:szCs w:val="24"/>
              </w:rPr>
            </w:pPr>
          </w:p>
          <w:p w14:paraId="574D8F24" w14:textId="5FB64487" w:rsidR="00BC2D4C" w:rsidRDefault="00075CCB" w:rsidP="00697F20">
            <w:pPr>
              <w:jc w:val="both"/>
              <w:rPr>
                <w:sz w:val="24"/>
                <w:szCs w:val="24"/>
              </w:rPr>
            </w:pPr>
            <w:r w:rsidRPr="00075CCB">
              <w:rPr>
                <w:sz w:val="24"/>
                <w:szCs w:val="24"/>
              </w:rPr>
              <w:lastRenderedPageBreak/>
              <w:t>В работата на комисията могат да участват и наблюдатели на УО на ПРСР и на Държавен фонд „Земеделие“.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14:paraId="6E6FD40B" w14:textId="77777777" w:rsidR="00075CCB" w:rsidRPr="0094785F" w:rsidRDefault="00075CCB" w:rsidP="00697F20">
            <w:pPr>
              <w:jc w:val="both"/>
              <w:rPr>
                <w:rFonts w:eastAsia="Calibri"/>
                <w:sz w:val="24"/>
                <w:szCs w:val="24"/>
                <w:lang w:eastAsia="en-US"/>
              </w:rPr>
            </w:pPr>
          </w:p>
          <w:p w14:paraId="004AFCE3"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Оценката на проектните предложения включва:</w:t>
            </w:r>
          </w:p>
          <w:p w14:paraId="57D450C1"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14:paraId="072AD01D"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ab/>
              <w:t>2. Техническа и финансова оценка.</w:t>
            </w:r>
          </w:p>
          <w:p w14:paraId="107E9BCA" w14:textId="77777777" w:rsidR="00697F20" w:rsidRPr="0094785F" w:rsidRDefault="00697F20" w:rsidP="00697F20">
            <w:pPr>
              <w:jc w:val="both"/>
              <w:rPr>
                <w:rFonts w:eastAsia="Calibri"/>
                <w:sz w:val="24"/>
                <w:szCs w:val="24"/>
                <w:lang w:eastAsia="en-US"/>
              </w:rPr>
            </w:pPr>
          </w:p>
          <w:p w14:paraId="642B5126" w14:textId="77777777" w:rsidR="00697F20" w:rsidRPr="0094785F" w:rsidRDefault="00697F20" w:rsidP="00697F20">
            <w:pPr>
              <w:jc w:val="both"/>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14:paraId="7BD73E8B" w14:textId="3AC9845F" w:rsidR="00244CF0" w:rsidRDefault="00697F20" w:rsidP="00244CF0">
            <w:pPr>
              <w:jc w:val="both"/>
              <w:rPr>
                <w:rFonts w:eastAsia="Calibri"/>
                <w:sz w:val="24"/>
                <w:szCs w:val="24"/>
                <w:lang w:eastAsia="en-US"/>
              </w:rPr>
            </w:pPr>
            <w:r w:rsidRPr="0094785F">
              <w:rPr>
                <w:rFonts w:eastAsia="Calibri"/>
                <w:sz w:val="24"/>
                <w:szCs w:val="24"/>
                <w:lang w:eastAsia="en-US"/>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w:t>
            </w:r>
            <w:r w:rsidR="002D0110">
              <w:rPr>
                <w:rFonts w:eastAsia="Calibri"/>
                <w:sz w:val="24"/>
                <w:szCs w:val="24"/>
                <w:lang w:eastAsia="en-US"/>
              </w:rPr>
              <w:t>о на проектното предложение.</w:t>
            </w:r>
          </w:p>
          <w:p w14:paraId="5FE8124B" w14:textId="77777777" w:rsidR="002D0110" w:rsidRDefault="002D0110" w:rsidP="00244CF0">
            <w:pPr>
              <w:jc w:val="both"/>
              <w:rPr>
                <w:rFonts w:eastAsia="Calibri"/>
                <w:sz w:val="24"/>
                <w:szCs w:val="24"/>
                <w:lang w:eastAsia="en-US"/>
              </w:rPr>
            </w:pPr>
          </w:p>
          <w:p w14:paraId="5400D93D" w14:textId="77777777" w:rsidR="004336BB" w:rsidRPr="004336BB" w:rsidRDefault="004336BB" w:rsidP="004336BB">
            <w:pPr>
              <w:jc w:val="both"/>
              <w:rPr>
                <w:rFonts w:eastAsia="Calibri"/>
                <w:b/>
                <w:sz w:val="24"/>
                <w:szCs w:val="24"/>
                <w:lang w:eastAsia="en-US"/>
              </w:rPr>
            </w:pPr>
            <w:r w:rsidRPr="004336BB">
              <w:rPr>
                <w:rFonts w:eastAsia="Calibri"/>
                <w:b/>
                <w:sz w:val="24"/>
                <w:szCs w:val="24"/>
                <w:lang w:eastAsia="en-US"/>
              </w:rPr>
              <w:t>Кореспонденцията с кандидата се извършва през системата ИСУН 2020 чрез профила на кандидата и асоциирания към него електронен адрес на потребителя.</w:t>
            </w:r>
          </w:p>
          <w:p w14:paraId="3471D815" w14:textId="77777777" w:rsidR="004336BB" w:rsidRPr="004336BB" w:rsidRDefault="004336BB" w:rsidP="004336BB">
            <w:pPr>
              <w:jc w:val="both"/>
              <w:rPr>
                <w:rFonts w:eastAsia="Calibri"/>
                <w:sz w:val="24"/>
                <w:szCs w:val="24"/>
                <w:lang w:eastAsia="en-US"/>
              </w:rPr>
            </w:pPr>
          </w:p>
          <w:p w14:paraId="312A4DB3" w14:textId="3EF392AF" w:rsidR="004336BB" w:rsidRDefault="004336BB" w:rsidP="004336BB">
            <w:pPr>
              <w:jc w:val="both"/>
              <w:rPr>
                <w:rFonts w:eastAsia="Calibri"/>
                <w:sz w:val="24"/>
                <w:szCs w:val="24"/>
                <w:lang w:eastAsia="en-US"/>
              </w:rPr>
            </w:pPr>
            <w:r w:rsidRPr="004336BB">
              <w:rPr>
                <w:rFonts w:eastAsia="Calibri"/>
                <w:sz w:val="24"/>
                <w:szCs w:val="24"/>
                <w:lang w:eastAsia="en-US"/>
              </w:rPr>
              <w:t>Неотстраняването на нередовностите в срок може да доведе до прекратяване на производството по отношение на кандидата! Кандидатът няма право да представя на комисията други документи освен липсващите и тези за отстраняване на нередовностите. Отстраняването на нередовностите не може да води до подобряване качеството на проектното предложение.</w:t>
            </w:r>
          </w:p>
          <w:p w14:paraId="75AA9BCB" w14:textId="66E3AC7A" w:rsidR="004336BB" w:rsidRPr="00697F20" w:rsidRDefault="004336BB" w:rsidP="004336BB">
            <w:pPr>
              <w:jc w:val="both"/>
              <w:rPr>
                <w:rFonts w:eastAsia="Calibri"/>
                <w:sz w:val="24"/>
                <w:szCs w:val="24"/>
                <w:lang w:eastAsia="en-US"/>
              </w:rPr>
            </w:pPr>
          </w:p>
          <w:p w14:paraId="76E6D504"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Оценителната комисия извършва корекции на бюджета на проектното предложение след получаването на допълнителната информация и в случай на установяване:</w:t>
            </w:r>
          </w:p>
          <w:p w14:paraId="108703E0"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а)наличие на недопустими дейности и / или разходи;</w:t>
            </w:r>
          </w:p>
          <w:p w14:paraId="26AC60F3"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б)несъответствие между предвидените дейности и видове и видове заложени разходи;</w:t>
            </w:r>
          </w:p>
          <w:p w14:paraId="3E100313"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в)дублиране на разходи;</w:t>
            </w:r>
          </w:p>
          <w:p w14:paraId="0752BD9B"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lastRenderedPageBreak/>
              <w:t>г)неспазване на заложените правила или ограничения по отношение на заложени процентни съотношения/праговете на разходите;</w:t>
            </w:r>
          </w:p>
          <w:p w14:paraId="0C40A4A6"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д)несъответствие с правилата за държавните или минимални те помощи;</w:t>
            </w:r>
          </w:p>
          <w:p w14:paraId="037F7652" w14:textId="77777777" w:rsidR="00405266" w:rsidRDefault="00405266" w:rsidP="00E37CBF">
            <w:pPr>
              <w:jc w:val="both"/>
              <w:rPr>
                <w:rFonts w:eastAsia="Calibri"/>
                <w:sz w:val="24"/>
                <w:szCs w:val="24"/>
                <w:lang w:eastAsia="en-US"/>
              </w:rPr>
            </w:pPr>
          </w:p>
          <w:p w14:paraId="26F936C5" w14:textId="62697A23"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Корекциите на бюджета  на проектното предложение не водят до: </w:t>
            </w:r>
          </w:p>
          <w:p w14:paraId="41B6DB77"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а) увеличаване на размера или на интензитета на безвъзмездната финансова помощ, предвидени в подаденото проектно предложение; </w:t>
            </w:r>
          </w:p>
          <w:p w14:paraId="1F0E2B0A"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б. невъзможност за изпълнение на целите на проекта или на проектните дейности; </w:t>
            </w:r>
          </w:p>
          <w:p w14:paraId="4AC56A8E" w14:textId="7D95EB0E" w:rsidR="00244CF0" w:rsidRPr="00697F20" w:rsidRDefault="00E37CBF" w:rsidP="00E37CBF">
            <w:pPr>
              <w:jc w:val="both"/>
              <w:rPr>
                <w:rFonts w:eastAsia="Calibri"/>
                <w:sz w:val="24"/>
                <w:szCs w:val="24"/>
                <w:lang w:eastAsia="en-US"/>
              </w:rPr>
            </w:pPr>
            <w:r w:rsidRPr="00E37CBF">
              <w:rPr>
                <w:rFonts w:eastAsia="Calibri"/>
                <w:sz w:val="24"/>
                <w:szCs w:val="24"/>
                <w:lang w:eastAsia="en-US"/>
              </w:rPr>
              <w:t xml:space="preserve"> в) подобряване на качеството на проектното предложение и нарушаване на принципите по чл. 29, ал. 1, т. 1 и 2 ЗУСЕСИФ.</w:t>
            </w:r>
          </w:p>
        </w:tc>
      </w:tr>
    </w:tbl>
    <w:p w14:paraId="05407D52" w14:textId="77777777" w:rsidR="00244CF0" w:rsidRPr="00244CF0" w:rsidRDefault="00244CF0" w:rsidP="00244CF0">
      <w:bookmarkStart w:id="67" w:name="_Toc445385611"/>
    </w:p>
    <w:p w14:paraId="787C1679" w14:textId="1C2A3437" w:rsidR="008D599C" w:rsidRPr="003B0E91" w:rsidRDefault="008D599C" w:rsidP="00D137FE">
      <w:pPr>
        <w:pStyle w:val="Heading2"/>
      </w:pPr>
      <w:bookmarkStart w:id="68" w:name="_Toc505614664"/>
      <w:bookmarkStart w:id="69" w:name="_Toc534292226"/>
      <w:r w:rsidRPr="003B0E91">
        <w:t>21.2 Техническа и финансова оценка:</w:t>
      </w:r>
      <w:bookmarkEnd w:id="68"/>
      <w:bookmarkEnd w:id="69"/>
    </w:p>
    <w:tbl>
      <w:tblPr>
        <w:tblStyle w:val="TableGrid"/>
        <w:tblW w:w="0" w:type="auto"/>
        <w:tblInd w:w="-147" w:type="dxa"/>
        <w:tblLook w:val="04A0" w:firstRow="1" w:lastRow="0" w:firstColumn="1" w:lastColumn="0" w:noHBand="0" w:noVBand="1"/>
      </w:tblPr>
      <w:tblGrid>
        <w:gridCol w:w="9359"/>
      </w:tblGrid>
      <w:tr w:rsidR="003B0E91" w:rsidRPr="00582D94" w14:paraId="795D6A57" w14:textId="77777777" w:rsidTr="00FD4D39">
        <w:tc>
          <w:tcPr>
            <w:tcW w:w="9359" w:type="dxa"/>
          </w:tcPr>
          <w:p w14:paraId="1507FAF8" w14:textId="77777777" w:rsidR="00E46A12" w:rsidRDefault="00E46A12" w:rsidP="00E46A12">
            <w:pPr>
              <w:jc w:val="both"/>
              <w:rPr>
                <w:sz w:val="24"/>
                <w:szCs w:val="24"/>
              </w:rPr>
            </w:pPr>
            <w:r w:rsidRPr="00E46A12">
              <w:rPr>
                <w:sz w:val="24"/>
                <w:szCs w:val="24"/>
              </w:rPr>
              <w:t>Техническата и финансова оценка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884438E" w14:textId="77777777" w:rsidR="006773AD" w:rsidRPr="00E46A12" w:rsidRDefault="006773AD" w:rsidP="00E46A12">
            <w:pPr>
              <w:jc w:val="both"/>
              <w:rPr>
                <w:sz w:val="24"/>
                <w:szCs w:val="24"/>
              </w:rPr>
            </w:pPr>
          </w:p>
          <w:p w14:paraId="6E33BF74" w14:textId="77777777" w:rsidR="00E46A12" w:rsidRDefault="00E46A12" w:rsidP="00E46A12">
            <w:pPr>
              <w:jc w:val="both"/>
              <w:rPr>
                <w:sz w:val="24"/>
                <w:szCs w:val="24"/>
              </w:rPr>
            </w:pPr>
            <w:r w:rsidRPr="00E46A12">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14:paraId="0520876A" w14:textId="77777777" w:rsidR="006773AD" w:rsidRPr="00E46A12" w:rsidRDefault="006773AD" w:rsidP="00E46A12">
            <w:pPr>
              <w:jc w:val="both"/>
              <w:rPr>
                <w:sz w:val="24"/>
                <w:szCs w:val="24"/>
              </w:rPr>
            </w:pPr>
          </w:p>
          <w:p w14:paraId="5244AA4B" w14:textId="77777777" w:rsidR="00E46A12" w:rsidRPr="00E46A12" w:rsidRDefault="00E46A12" w:rsidP="00E46A12">
            <w:pPr>
              <w:jc w:val="both"/>
              <w:rPr>
                <w:sz w:val="24"/>
                <w:szCs w:val="24"/>
              </w:rPr>
            </w:pPr>
            <w:r w:rsidRPr="00E46A12">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14:paraId="2F45E17A" w14:textId="77777777" w:rsidR="00E46A12" w:rsidRPr="00E46A12" w:rsidRDefault="00E46A12" w:rsidP="00E46A12">
            <w:pPr>
              <w:jc w:val="both"/>
              <w:rPr>
                <w:sz w:val="24"/>
                <w:szCs w:val="24"/>
              </w:rPr>
            </w:pPr>
          </w:p>
          <w:p w14:paraId="26E7E42E" w14:textId="77777777" w:rsidR="00E46A12" w:rsidRPr="00E46A12" w:rsidRDefault="00E46A12" w:rsidP="00E46A12">
            <w:pPr>
              <w:jc w:val="both"/>
              <w:rPr>
                <w:sz w:val="24"/>
                <w:szCs w:val="24"/>
              </w:rPr>
            </w:pPr>
            <w:r w:rsidRPr="00E46A12">
              <w:rPr>
                <w:sz w:val="24"/>
                <w:szCs w:val="24"/>
              </w:rPr>
              <w:t>*Забележка:</w:t>
            </w:r>
          </w:p>
          <w:p w14:paraId="292990E7" w14:textId="77777777" w:rsidR="00E46A12" w:rsidRDefault="00E46A12" w:rsidP="00E46A12">
            <w:pPr>
              <w:jc w:val="both"/>
              <w:rPr>
                <w:sz w:val="24"/>
                <w:szCs w:val="24"/>
              </w:rPr>
            </w:pPr>
            <w:r w:rsidRPr="00E46A12">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4BF7A57B" w14:textId="77777777" w:rsidR="006773AD" w:rsidRPr="00E46A12" w:rsidRDefault="006773AD" w:rsidP="00E46A12">
            <w:pPr>
              <w:jc w:val="both"/>
              <w:rPr>
                <w:sz w:val="24"/>
                <w:szCs w:val="24"/>
              </w:rPr>
            </w:pPr>
          </w:p>
          <w:p w14:paraId="3AA8BFBE" w14:textId="77777777" w:rsidR="00E46A12" w:rsidRDefault="00E46A12" w:rsidP="00E46A12">
            <w:pPr>
              <w:jc w:val="both"/>
              <w:rPr>
                <w:sz w:val="24"/>
                <w:szCs w:val="24"/>
              </w:rPr>
            </w:pPr>
            <w:r w:rsidRPr="00E46A12">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14:paraId="76942D75" w14:textId="77777777" w:rsidR="006773AD" w:rsidRPr="00E46A12" w:rsidRDefault="006773AD" w:rsidP="00E46A12">
            <w:pPr>
              <w:jc w:val="both"/>
              <w:rPr>
                <w:sz w:val="24"/>
                <w:szCs w:val="24"/>
              </w:rPr>
            </w:pPr>
          </w:p>
          <w:p w14:paraId="76D09CFC" w14:textId="77777777" w:rsidR="00E46A12" w:rsidRPr="00E46A12" w:rsidRDefault="00E46A12" w:rsidP="00E46A12">
            <w:pPr>
              <w:jc w:val="both"/>
              <w:rPr>
                <w:sz w:val="24"/>
                <w:szCs w:val="24"/>
              </w:rPr>
            </w:pPr>
            <w:r w:rsidRPr="00E46A12">
              <w:rPr>
                <w:sz w:val="24"/>
                <w:szCs w:val="24"/>
              </w:rPr>
              <w:t>На следния уеб адрес е наличен видеоклип, онагледяващ процеса на отговор на въпрос от оценителната комисия:</w:t>
            </w:r>
          </w:p>
          <w:p w14:paraId="3C235BE5" w14:textId="1B95DF81" w:rsidR="00E46A12" w:rsidRDefault="00376288" w:rsidP="00E46A12">
            <w:pPr>
              <w:jc w:val="both"/>
              <w:rPr>
                <w:sz w:val="24"/>
                <w:szCs w:val="24"/>
              </w:rPr>
            </w:pPr>
            <w:hyperlink r:id="rId23" w:history="1">
              <w:r w:rsidR="006773AD" w:rsidRPr="005E1279">
                <w:rPr>
                  <w:rStyle w:val="Hyperlink"/>
                  <w:sz w:val="24"/>
                  <w:szCs w:val="24"/>
                </w:rPr>
                <w:t>https://www.youtube.com/watch?v=x6T0AavwC68</w:t>
              </w:r>
            </w:hyperlink>
          </w:p>
          <w:p w14:paraId="2DA0D02D" w14:textId="77777777" w:rsidR="006773AD" w:rsidRPr="00E46A12" w:rsidRDefault="006773AD" w:rsidP="00E46A12">
            <w:pPr>
              <w:jc w:val="both"/>
              <w:rPr>
                <w:sz w:val="24"/>
                <w:szCs w:val="24"/>
              </w:rPr>
            </w:pPr>
          </w:p>
          <w:p w14:paraId="33892CD8" w14:textId="77777777" w:rsidR="00E46A12" w:rsidRPr="00E46A12" w:rsidRDefault="00E46A12" w:rsidP="00E46A12">
            <w:pPr>
              <w:jc w:val="both"/>
              <w:rPr>
                <w:sz w:val="24"/>
                <w:szCs w:val="24"/>
              </w:rPr>
            </w:pPr>
            <w:r w:rsidRPr="00E46A12">
              <w:rPr>
                <w:sz w:val="24"/>
                <w:szCs w:val="24"/>
              </w:rPr>
              <w:t>Кандидатът няма право да представя на комисията други документи освен липсващите и тези за отстраняване на нередовностите.</w:t>
            </w:r>
          </w:p>
          <w:p w14:paraId="308A2D57" w14:textId="77777777" w:rsidR="00E46A12" w:rsidRPr="00E46A12" w:rsidRDefault="00E46A12" w:rsidP="00E46A12">
            <w:pPr>
              <w:jc w:val="both"/>
              <w:rPr>
                <w:sz w:val="24"/>
                <w:szCs w:val="24"/>
              </w:rPr>
            </w:pPr>
          </w:p>
          <w:p w14:paraId="3FFA3866" w14:textId="77777777" w:rsidR="00E46A12" w:rsidRDefault="00E46A12" w:rsidP="00E46A12">
            <w:pPr>
              <w:jc w:val="both"/>
              <w:rPr>
                <w:sz w:val="24"/>
                <w:szCs w:val="24"/>
              </w:rPr>
            </w:pPr>
            <w:r w:rsidRPr="00E46A12">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14:paraId="1780F742" w14:textId="77777777" w:rsidR="0020131E" w:rsidRPr="00E46A12" w:rsidRDefault="0020131E" w:rsidP="00E46A12">
            <w:pPr>
              <w:jc w:val="both"/>
              <w:rPr>
                <w:sz w:val="24"/>
                <w:szCs w:val="24"/>
              </w:rPr>
            </w:pPr>
          </w:p>
          <w:p w14:paraId="7D527A11" w14:textId="77777777" w:rsidR="00E46A12" w:rsidRDefault="00E46A12" w:rsidP="00E46A12">
            <w:pPr>
              <w:jc w:val="both"/>
              <w:rPr>
                <w:sz w:val="24"/>
                <w:szCs w:val="24"/>
              </w:rPr>
            </w:pPr>
            <w:r w:rsidRPr="00E46A12">
              <w:rPr>
                <w:sz w:val="24"/>
                <w:szCs w:val="24"/>
              </w:rPr>
              <w:t>Оценителният доклад и възраженията по него  са уредени в чл.44, ал.3-6 и чл. 45 на ПМС № 161 от 2016 г.</w:t>
            </w:r>
          </w:p>
          <w:p w14:paraId="499A6662" w14:textId="77777777" w:rsidR="0020131E" w:rsidRPr="00E46A12" w:rsidRDefault="0020131E" w:rsidP="00E46A12">
            <w:pPr>
              <w:jc w:val="both"/>
              <w:rPr>
                <w:sz w:val="24"/>
                <w:szCs w:val="24"/>
              </w:rPr>
            </w:pPr>
          </w:p>
          <w:p w14:paraId="6021D649" w14:textId="77777777" w:rsidR="00E46A12" w:rsidRDefault="00E46A12" w:rsidP="00E46A12">
            <w:pPr>
              <w:jc w:val="both"/>
              <w:rPr>
                <w:sz w:val="24"/>
                <w:szCs w:val="24"/>
              </w:rPr>
            </w:pPr>
            <w:r w:rsidRPr="00E46A12">
              <w:rPr>
                <w:sz w:val="24"/>
                <w:szCs w:val="24"/>
              </w:rPr>
              <w:t>Оценителният доклад се одобрява от УС на МИГ в срок до 5 работни от приключване работата на комисията.</w:t>
            </w:r>
          </w:p>
          <w:p w14:paraId="43569B69" w14:textId="77777777" w:rsidR="0020131E" w:rsidRPr="00E46A12" w:rsidRDefault="0020131E" w:rsidP="00E46A12">
            <w:pPr>
              <w:jc w:val="both"/>
              <w:rPr>
                <w:sz w:val="24"/>
                <w:szCs w:val="24"/>
              </w:rPr>
            </w:pPr>
          </w:p>
          <w:p w14:paraId="0D268EF5" w14:textId="77777777" w:rsidR="00E46A12" w:rsidRDefault="00E46A12" w:rsidP="00E46A12">
            <w:pPr>
              <w:jc w:val="both"/>
              <w:rPr>
                <w:sz w:val="24"/>
                <w:szCs w:val="24"/>
              </w:rPr>
            </w:pPr>
            <w:r w:rsidRPr="00E46A12">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14:paraId="6C94F4DE" w14:textId="77777777" w:rsidR="0020131E" w:rsidRPr="00E46A12" w:rsidRDefault="0020131E" w:rsidP="00E46A12">
            <w:pPr>
              <w:jc w:val="both"/>
              <w:rPr>
                <w:sz w:val="24"/>
                <w:szCs w:val="24"/>
              </w:rPr>
            </w:pPr>
          </w:p>
          <w:p w14:paraId="2B19018E" w14:textId="1B46F7B7" w:rsidR="003B0E91" w:rsidRPr="0015239E" w:rsidRDefault="00E46A12" w:rsidP="00E46A12">
            <w:pPr>
              <w:jc w:val="both"/>
            </w:pPr>
            <w:r w:rsidRPr="00E46A12">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14:paraId="0F71283E" w14:textId="77777777" w:rsidR="00212DA1" w:rsidRPr="00212DA1" w:rsidRDefault="00212DA1" w:rsidP="00212DA1">
      <w:pPr>
        <w:rPr>
          <w:lang w:val="en-US"/>
        </w:rPr>
      </w:pPr>
    </w:p>
    <w:p w14:paraId="14B4EB41" w14:textId="16AB0B52" w:rsidR="002C08E5" w:rsidRPr="007713C1" w:rsidRDefault="00237BC8" w:rsidP="007570DC">
      <w:pPr>
        <w:pStyle w:val="Heading1"/>
      </w:pPr>
      <w:bookmarkStart w:id="70" w:name="_Toc534292227"/>
      <w:r>
        <w:t>2</w:t>
      </w:r>
      <w:r w:rsidR="00BE42E8">
        <w:t>2</w:t>
      </w:r>
      <w:r w:rsidR="00CD1494" w:rsidRPr="007713C1">
        <w:t>. Критерии и методика за оценка на проектните предложения:</w:t>
      </w:r>
      <w:bookmarkEnd w:id="67"/>
      <w:bookmarkEnd w:id="70"/>
    </w:p>
    <w:tbl>
      <w:tblPr>
        <w:tblStyle w:val="TableGrid"/>
        <w:tblW w:w="9493" w:type="dxa"/>
        <w:tblInd w:w="-147" w:type="dxa"/>
        <w:tblLook w:val="04A0" w:firstRow="1" w:lastRow="0" w:firstColumn="1" w:lastColumn="0" w:noHBand="0" w:noVBand="1"/>
      </w:tblPr>
      <w:tblGrid>
        <w:gridCol w:w="9493"/>
      </w:tblGrid>
      <w:tr w:rsidR="009C42B5" w:rsidRPr="007713C1" w14:paraId="6F1E810F" w14:textId="77777777" w:rsidTr="002C5DDA">
        <w:trPr>
          <w:trHeight w:val="732"/>
        </w:trPr>
        <w:tc>
          <w:tcPr>
            <w:tcW w:w="9493" w:type="dxa"/>
          </w:tcPr>
          <w:p w14:paraId="00AEFC22" w14:textId="58A26AF6" w:rsidR="00FD3EC6" w:rsidRPr="00FD3EC6" w:rsidRDefault="00FD3EC6" w:rsidP="00FD3EC6">
            <w:pPr>
              <w:jc w:val="both"/>
              <w:rPr>
                <w:b/>
                <w:sz w:val="24"/>
                <w:szCs w:val="24"/>
              </w:rPr>
            </w:pPr>
            <w:r w:rsidRPr="00FD3EC6">
              <w:rPr>
                <w:b/>
                <w:sz w:val="24"/>
                <w:szCs w:val="24"/>
              </w:rPr>
              <w:t>ВАЖНО: Максималният брой точки, който може да получи едно проектно предложение е 100 точки.</w:t>
            </w:r>
          </w:p>
          <w:p w14:paraId="540B5C9F" w14:textId="77777777" w:rsidR="00FD3EC6" w:rsidRPr="00FD3EC6" w:rsidRDefault="00FD3EC6" w:rsidP="00FD3EC6">
            <w:pPr>
              <w:jc w:val="both"/>
              <w:rPr>
                <w:b/>
                <w:sz w:val="24"/>
                <w:szCs w:val="24"/>
              </w:rPr>
            </w:pPr>
          </w:p>
          <w:p w14:paraId="52ED2969" w14:textId="331A4FDE" w:rsidR="00FD3EC6" w:rsidRPr="00FD3EC6" w:rsidRDefault="00FD3EC6" w:rsidP="00FD3EC6">
            <w:pPr>
              <w:jc w:val="both"/>
              <w:rPr>
                <w:b/>
                <w:sz w:val="24"/>
                <w:szCs w:val="24"/>
              </w:rPr>
            </w:pPr>
            <w:r w:rsidRPr="00FD3EC6">
              <w:rPr>
                <w:b/>
                <w:sz w:val="24"/>
                <w:szCs w:val="24"/>
              </w:rPr>
              <w:t>За да бъде предложено за финансиране едно проектно предложение, общата крайна оценка на етап техническа и финансова оценка тря</w:t>
            </w:r>
            <w:r w:rsidR="006A7F23">
              <w:rPr>
                <w:b/>
                <w:sz w:val="24"/>
                <w:szCs w:val="24"/>
              </w:rPr>
              <w:t>б</w:t>
            </w:r>
            <w:r w:rsidR="00A32428">
              <w:rPr>
                <w:b/>
                <w:sz w:val="24"/>
                <w:szCs w:val="24"/>
              </w:rPr>
              <w:t>ва да е равна или по-голяма от 3</w:t>
            </w:r>
            <w:r w:rsidRPr="00786772">
              <w:rPr>
                <w:b/>
                <w:sz w:val="24"/>
                <w:szCs w:val="24"/>
              </w:rPr>
              <w:t>0 т.</w:t>
            </w:r>
          </w:p>
          <w:p w14:paraId="6F5A8ACA" w14:textId="7DFB448F" w:rsidR="00FD3EC6" w:rsidRPr="00FD3EC6" w:rsidRDefault="00FD3EC6" w:rsidP="00FD3EC6">
            <w:pPr>
              <w:rPr>
                <w:b/>
                <w:sz w:val="24"/>
                <w:szCs w:val="24"/>
              </w:rPr>
            </w:pPr>
          </w:p>
          <w:p w14:paraId="7BB1C9F1" w14:textId="182F437B" w:rsidR="00FC20F0" w:rsidRDefault="00FC20F0" w:rsidP="00FC20F0">
            <w:pPr>
              <w:spacing w:before="120" w:after="120"/>
              <w:jc w:val="both"/>
              <w:rPr>
                <w:bCs/>
                <w:noProof/>
                <w:snapToGrid w:val="0"/>
                <w:sz w:val="24"/>
                <w:szCs w:val="24"/>
              </w:rPr>
            </w:pPr>
            <w:r w:rsidRPr="00FC20F0">
              <w:rPr>
                <w:bCs/>
                <w:noProof/>
                <w:snapToGrid w:val="0"/>
                <w:sz w:val="24"/>
                <w:szCs w:val="24"/>
              </w:rPr>
              <w:lastRenderedPageBreak/>
              <w:t>Подадените проекти ще се подреждат според</w:t>
            </w:r>
            <w:r w:rsidR="0016135A">
              <w:rPr>
                <w:bCs/>
                <w:noProof/>
                <w:snapToGrid w:val="0"/>
                <w:sz w:val="24"/>
                <w:szCs w:val="24"/>
              </w:rPr>
              <w:t xml:space="preserve"> съответствието им със следните </w:t>
            </w:r>
            <w:r w:rsidRPr="00FC20F0">
              <w:rPr>
                <w:bCs/>
                <w:noProof/>
                <w:snapToGrid w:val="0"/>
                <w:sz w:val="24"/>
                <w:szCs w:val="24"/>
              </w:rPr>
              <w:t>критерии за оценка:</w:t>
            </w:r>
          </w:p>
          <w:tbl>
            <w:tblPr>
              <w:tblW w:w="10202" w:type="dxa"/>
              <w:tblCellMar>
                <w:left w:w="70" w:type="dxa"/>
                <w:right w:w="70" w:type="dxa"/>
              </w:tblCellMar>
              <w:tblLook w:val="04A0" w:firstRow="1" w:lastRow="0" w:firstColumn="1" w:lastColumn="0" w:noHBand="0" w:noVBand="1"/>
            </w:tblPr>
            <w:tblGrid>
              <w:gridCol w:w="704"/>
              <w:gridCol w:w="4962"/>
              <w:gridCol w:w="4536"/>
            </w:tblGrid>
            <w:tr w:rsidR="00B63893" w:rsidRPr="00B64E3C" w14:paraId="02EF3490" w14:textId="77777777" w:rsidTr="00BE659F">
              <w:trPr>
                <w:trHeight w:val="945"/>
              </w:trPr>
              <w:tc>
                <w:tcPr>
                  <w:tcW w:w="704" w:type="dxa"/>
                  <w:tcBorders>
                    <w:top w:val="single" w:sz="4" w:space="0" w:color="auto"/>
                    <w:left w:val="single" w:sz="4" w:space="0" w:color="auto"/>
                    <w:bottom w:val="single" w:sz="6" w:space="0" w:color="auto"/>
                    <w:right w:val="single" w:sz="4" w:space="0" w:color="auto"/>
                  </w:tcBorders>
                  <w:shd w:val="clear" w:color="000000" w:fill="D9D9D9"/>
                  <w:noWrap/>
                  <w:vAlign w:val="center"/>
                  <w:hideMark/>
                </w:tcPr>
                <w:p w14:paraId="7F2ABC91" w14:textId="77777777" w:rsidR="00B63893" w:rsidRPr="00B64E3C"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sidRPr="00B64E3C">
                    <w:rPr>
                      <w:rFonts w:ascii="Times New Roman" w:eastAsia="Times New Roman" w:hAnsi="Times New Roman" w:cs="Times New Roman"/>
                      <w:b/>
                      <w:bCs/>
                      <w:color w:val="000000"/>
                      <w:sz w:val="24"/>
                      <w:szCs w:val="24"/>
                      <w:lang w:eastAsia="bg-BG"/>
                    </w:rPr>
                    <w:t>№</w:t>
                  </w:r>
                </w:p>
              </w:tc>
              <w:tc>
                <w:tcPr>
                  <w:tcW w:w="4962" w:type="dxa"/>
                  <w:tcBorders>
                    <w:top w:val="single" w:sz="4" w:space="0" w:color="auto"/>
                    <w:left w:val="nil"/>
                    <w:bottom w:val="single" w:sz="4" w:space="0" w:color="auto"/>
                    <w:right w:val="single" w:sz="4" w:space="0" w:color="auto"/>
                  </w:tcBorders>
                  <w:shd w:val="clear" w:color="000000" w:fill="D9D9D9"/>
                  <w:vAlign w:val="center"/>
                  <w:hideMark/>
                </w:tcPr>
                <w:p w14:paraId="259115F1" w14:textId="77777777" w:rsidR="00B63893" w:rsidRPr="00B64E3C"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Критерии за оценка</w:t>
                  </w:r>
                  <w:r w:rsidRPr="00B64E3C">
                    <w:rPr>
                      <w:rFonts w:ascii="Times New Roman" w:eastAsia="Times New Roman" w:hAnsi="Times New Roman" w:cs="Times New Roman"/>
                      <w:b/>
                      <w:bCs/>
                      <w:color w:val="000000"/>
                      <w:sz w:val="24"/>
                      <w:szCs w:val="24"/>
                      <w:lang w:eastAsia="bg-BG"/>
                    </w:rPr>
                    <w:t> </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14:paraId="4A037D6A" w14:textId="6D1674BF" w:rsidR="00B63893" w:rsidRPr="00B64E3C" w:rsidRDefault="004659EF" w:rsidP="004659EF">
                  <w:pPr>
                    <w:spacing w:after="0" w:line="240" w:lineRule="auto"/>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val="en-US" w:eastAsia="bg-BG"/>
                    </w:rPr>
                    <w:t xml:space="preserve">     </w:t>
                  </w:r>
                  <w:r w:rsidR="00D25486">
                    <w:rPr>
                      <w:rFonts w:ascii="Times New Roman" w:eastAsia="Times New Roman" w:hAnsi="Times New Roman" w:cs="Times New Roman"/>
                      <w:b/>
                      <w:bCs/>
                      <w:color w:val="000000"/>
                      <w:sz w:val="24"/>
                      <w:szCs w:val="24"/>
                      <w:lang w:eastAsia="bg-BG"/>
                    </w:rPr>
                    <w:t xml:space="preserve">           </w:t>
                  </w:r>
                  <w:r w:rsidR="00B63893" w:rsidRPr="00B64E3C">
                    <w:rPr>
                      <w:rFonts w:ascii="Times New Roman" w:eastAsia="Times New Roman" w:hAnsi="Times New Roman" w:cs="Times New Roman"/>
                      <w:b/>
                      <w:bCs/>
                      <w:color w:val="000000"/>
                      <w:sz w:val="24"/>
                      <w:szCs w:val="24"/>
                      <w:lang w:eastAsia="bg-BG"/>
                    </w:rPr>
                    <w:t>Максимален праг</w:t>
                  </w:r>
                </w:p>
              </w:tc>
            </w:tr>
            <w:tr w:rsidR="00B63893" w14:paraId="3235DB90" w14:textId="77777777" w:rsidTr="00BE659F">
              <w:tblPrEx>
                <w:tblLook w:val="0000" w:firstRow="0" w:lastRow="0" w:firstColumn="0" w:lastColumn="0" w:noHBand="0" w:noVBand="0"/>
              </w:tblPrEx>
              <w:trPr>
                <w:trHeight w:val="1440"/>
              </w:trPr>
              <w:tc>
                <w:tcPr>
                  <w:tcW w:w="704" w:type="dxa"/>
                  <w:tcBorders>
                    <w:top w:val="single" w:sz="6" w:space="0" w:color="auto"/>
                    <w:left w:val="single" w:sz="4" w:space="0" w:color="auto"/>
                    <w:bottom w:val="single" w:sz="6" w:space="0" w:color="auto"/>
                    <w:right w:val="single" w:sz="6" w:space="0" w:color="auto"/>
                  </w:tcBorders>
                  <w:shd w:val="solid" w:color="FFFFFF" w:fill="auto"/>
                </w:tcPr>
                <w:p w14:paraId="2DC01EC1"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688C8F" w14:textId="70946DD0" w:rsidR="00B63893" w:rsidRDefault="00B63893" w:rsidP="00EC30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Pr>
                      <w:rFonts w:ascii="Times New Roman" w:hAnsi="Times New Roman" w:cs="Times New Roman"/>
                      <w:color w:val="000000"/>
                      <w:sz w:val="24"/>
                      <w:szCs w:val="24"/>
                    </w:rPr>
                    <w:t>.</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4BE52E81"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r>
            <w:tr w:rsidR="00B63893" w14:paraId="7531CEA1"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shd w:val="solid" w:color="FFFFFF" w:fill="auto"/>
                </w:tcPr>
                <w:p w14:paraId="5734EED7"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BB8B8B" w14:textId="77777777" w:rsidR="00B63893" w:rsidRPr="000E0C7F" w:rsidRDefault="00B63893" w:rsidP="00B63893">
                  <w:pPr>
                    <w:autoSpaceDE w:val="0"/>
                    <w:autoSpaceDN w:val="0"/>
                    <w:adjustRightInd w:val="0"/>
                    <w:spacing w:after="0" w:line="240" w:lineRule="auto"/>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 xml:space="preserve">Проекти с дейности в населени места извън общинския център </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49E51A61"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15</w:t>
                  </w:r>
                </w:p>
              </w:tc>
            </w:tr>
            <w:tr w:rsidR="00B63893" w14:paraId="2D35F672" w14:textId="77777777" w:rsidTr="00BE659F">
              <w:tblPrEx>
                <w:tblLook w:val="0000" w:firstRow="0" w:lastRow="0" w:firstColumn="0" w:lastColumn="0" w:noHBand="0" w:noVBand="0"/>
              </w:tblPrEx>
              <w:trPr>
                <w:trHeight w:val="712"/>
              </w:trPr>
              <w:tc>
                <w:tcPr>
                  <w:tcW w:w="704" w:type="dxa"/>
                  <w:tcBorders>
                    <w:top w:val="single" w:sz="6" w:space="0" w:color="auto"/>
                    <w:left w:val="single" w:sz="4" w:space="0" w:color="auto"/>
                    <w:bottom w:val="single" w:sz="6" w:space="0" w:color="auto"/>
                    <w:right w:val="single" w:sz="6" w:space="0" w:color="auto"/>
                  </w:tcBorders>
                </w:tcPr>
                <w:p w14:paraId="12D0FD10"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962" w:type="dxa"/>
                  <w:tcBorders>
                    <w:top w:val="single" w:sz="6" w:space="0" w:color="auto"/>
                    <w:left w:val="single" w:sz="6" w:space="0" w:color="auto"/>
                    <w:bottom w:val="single" w:sz="6" w:space="0" w:color="auto"/>
                    <w:right w:val="single" w:sz="6" w:space="0" w:color="auto"/>
                  </w:tcBorders>
                </w:tcPr>
                <w:p w14:paraId="76890AFA" w14:textId="0945BFF9" w:rsidR="00B63893" w:rsidRDefault="00B63893" w:rsidP="00EC309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Брой население, което ще се възползва от подобрените основни услуги, и обхвата на  териориално въздействие</w:t>
                  </w:r>
                </w:p>
              </w:tc>
              <w:tc>
                <w:tcPr>
                  <w:tcW w:w="4536" w:type="dxa"/>
                  <w:tcBorders>
                    <w:top w:val="single" w:sz="6" w:space="0" w:color="auto"/>
                    <w:left w:val="single" w:sz="6" w:space="0" w:color="auto"/>
                    <w:bottom w:val="single" w:sz="6" w:space="0" w:color="auto"/>
                    <w:right w:val="single" w:sz="6" w:space="0" w:color="auto"/>
                  </w:tcBorders>
                </w:tcPr>
                <w:p w14:paraId="0277138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4A9C1E8F"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0A3C2E50"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p>
              </w:tc>
              <w:tc>
                <w:tcPr>
                  <w:tcW w:w="4962" w:type="dxa"/>
                  <w:tcBorders>
                    <w:top w:val="single" w:sz="6" w:space="0" w:color="auto"/>
                    <w:left w:val="single" w:sz="6" w:space="0" w:color="auto"/>
                    <w:bottom w:val="single" w:sz="6" w:space="0" w:color="auto"/>
                    <w:right w:val="single" w:sz="6" w:space="0" w:color="auto"/>
                  </w:tcBorders>
                </w:tcPr>
                <w:p w14:paraId="41C974B3"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Инвестицията се изпълнява на територията на населено място/населени места с общо население над 2000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688ED55C"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57D208EA" w14:textId="77777777" w:rsidTr="00BE659F">
              <w:tblPrEx>
                <w:tblLook w:val="0000" w:firstRow="0" w:lastRow="0" w:firstColumn="0" w:lastColumn="0" w:noHBand="0" w:noVBand="0"/>
              </w:tblPrEx>
              <w:trPr>
                <w:trHeight w:val="1189"/>
              </w:trPr>
              <w:tc>
                <w:tcPr>
                  <w:tcW w:w="704" w:type="dxa"/>
                  <w:tcBorders>
                    <w:top w:val="single" w:sz="6" w:space="0" w:color="auto"/>
                    <w:left w:val="single" w:sz="4" w:space="0" w:color="auto"/>
                    <w:bottom w:val="single" w:sz="6" w:space="0" w:color="auto"/>
                    <w:right w:val="single" w:sz="6" w:space="0" w:color="auto"/>
                  </w:tcBorders>
                </w:tcPr>
                <w:p w14:paraId="624D429E"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p>
              </w:tc>
              <w:tc>
                <w:tcPr>
                  <w:tcW w:w="4962" w:type="dxa"/>
                  <w:tcBorders>
                    <w:top w:val="single" w:sz="6" w:space="0" w:color="auto"/>
                    <w:left w:val="single" w:sz="6" w:space="0" w:color="auto"/>
                    <w:bottom w:val="single" w:sz="6" w:space="0" w:color="auto"/>
                    <w:right w:val="single" w:sz="6" w:space="0" w:color="auto"/>
                  </w:tcBorders>
                </w:tcPr>
                <w:p w14:paraId="49018C1A"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5B68A014"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7D6C0D98"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2FACD732"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p>
              </w:tc>
              <w:tc>
                <w:tcPr>
                  <w:tcW w:w="4962" w:type="dxa"/>
                  <w:tcBorders>
                    <w:top w:val="single" w:sz="6" w:space="0" w:color="auto"/>
                    <w:left w:val="single" w:sz="6" w:space="0" w:color="auto"/>
                    <w:bottom w:val="single" w:sz="6" w:space="0" w:color="auto"/>
                    <w:right w:val="single" w:sz="6" w:space="0" w:color="auto"/>
                  </w:tcBorders>
                </w:tcPr>
                <w:p w14:paraId="14C85902"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650B4BE9"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r>
            <w:tr w:rsidR="00B63893" w14:paraId="358207A3" w14:textId="77777777" w:rsidTr="00BE659F">
              <w:tblPrEx>
                <w:tblLook w:val="0000" w:firstRow="0" w:lastRow="0" w:firstColumn="0" w:lastColumn="0" w:noHBand="0" w:noVBand="0"/>
              </w:tblPrEx>
              <w:trPr>
                <w:trHeight w:val="610"/>
              </w:trPr>
              <w:tc>
                <w:tcPr>
                  <w:tcW w:w="704" w:type="dxa"/>
                  <w:tcBorders>
                    <w:top w:val="single" w:sz="6" w:space="0" w:color="auto"/>
                    <w:left w:val="single" w:sz="4" w:space="0" w:color="auto"/>
                    <w:bottom w:val="single" w:sz="6" w:space="0" w:color="auto"/>
                    <w:right w:val="single" w:sz="6" w:space="0" w:color="auto"/>
                  </w:tcBorders>
                </w:tcPr>
                <w:p w14:paraId="35528C43"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962" w:type="dxa"/>
                  <w:tcBorders>
                    <w:top w:val="nil"/>
                    <w:left w:val="nil"/>
                    <w:bottom w:val="nil"/>
                    <w:right w:val="nil"/>
                  </w:tcBorders>
                </w:tcPr>
                <w:p w14:paraId="3ADBAC8C" w14:textId="77777777" w:rsidR="00B63893" w:rsidRPr="00230B67"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sidRPr="00230B67">
                    <w:rPr>
                      <w:rFonts w:ascii="Times New Roman" w:hAnsi="Times New Roman" w:cs="Times New Roman"/>
                      <w:b/>
                      <w:bCs/>
                      <w:color w:val="000000"/>
                      <w:sz w:val="24"/>
                      <w:szCs w:val="24"/>
                    </w:rPr>
                    <w:t>Проекти, създаващи работни места при изпълнение на допустимите дейности</w:t>
                  </w:r>
                </w:p>
              </w:tc>
              <w:tc>
                <w:tcPr>
                  <w:tcW w:w="4536" w:type="dxa"/>
                  <w:tcBorders>
                    <w:top w:val="single" w:sz="6" w:space="0" w:color="auto"/>
                    <w:left w:val="single" w:sz="6" w:space="0" w:color="auto"/>
                    <w:bottom w:val="single" w:sz="6" w:space="0" w:color="auto"/>
                    <w:right w:val="single" w:sz="6" w:space="0" w:color="auto"/>
                  </w:tcBorders>
                </w:tcPr>
                <w:p w14:paraId="18775845"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00178446"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586BD75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p>
              </w:tc>
              <w:tc>
                <w:tcPr>
                  <w:tcW w:w="4962" w:type="dxa"/>
                  <w:tcBorders>
                    <w:top w:val="single" w:sz="6" w:space="0" w:color="auto"/>
                    <w:left w:val="single" w:sz="6" w:space="0" w:color="auto"/>
                    <w:bottom w:val="single" w:sz="6" w:space="0" w:color="auto"/>
                    <w:right w:val="single" w:sz="6" w:space="0" w:color="auto"/>
                  </w:tcBorders>
                </w:tcPr>
                <w:p w14:paraId="3C324B94"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изпълнение дейностите по проекта кандидатът ще създаде над 2 работни места </w:t>
                  </w:r>
                </w:p>
              </w:tc>
              <w:tc>
                <w:tcPr>
                  <w:tcW w:w="4536" w:type="dxa"/>
                  <w:tcBorders>
                    <w:top w:val="single" w:sz="6" w:space="0" w:color="auto"/>
                    <w:left w:val="single" w:sz="6" w:space="0" w:color="auto"/>
                    <w:bottom w:val="single" w:sz="6" w:space="0" w:color="auto"/>
                    <w:right w:val="single" w:sz="6" w:space="0" w:color="auto"/>
                  </w:tcBorders>
                </w:tcPr>
                <w:p w14:paraId="708A2E1A"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7C4B28C2"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213A2967"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4.2.</w:t>
                  </w:r>
                </w:p>
              </w:tc>
              <w:tc>
                <w:tcPr>
                  <w:tcW w:w="4962" w:type="dxa"/>
                  <w:tcBorders>
                    <w:top w:val="single" w:sz="6" w:space="0" w:color="auto"/>
                    <w:left w:val="single" w:sz="6" w:space="0" w:color="auto"/>
                    <w:bottom w:val="single" w:sz="6" w:space="0" w:color="auto"/>
                    <w:right w:val="single" w:sz="6" w:space="0" w:color="auto"/>
                  </w:tcBorders>
                </w:tcPr>
                <w:p w14:paraId="4F532232"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изпълнение дейностите по проекта кандидатът ще създаде до 2 работни места </w:t>
                  </w:r>
                </w:p>
              </w:tc>
              <w:tc>
                <w:tcPr>
                  <w:tcW w:w="4536" w:type="dxa"/>
                  <w:tcBorders>
                    <w:top w:val="single" w:sz="6" w:space="0" w:color="auto"/>
                    <w:left w:val="single" w:sz="6" w:space="0" w:color="auto"/>
                    <w:bottom w:val="single" w:sz="6" w:space="0" w:color="auto"/>
                    <w:right w:val="single" w:sz="6" w:space="0" w:color="auto"/>
                  </w:tcBorders>
                </w:tcPr>
                <w:p w14:paraId="4353AE1B"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1FBF4EB0"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6A678A58"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962" w:type="dxa"/>
                  <w:tcBorders>
                    <w:top w:val="single" w:sz="6" w:space="0" w:color="auto"/>
                    <w:left w:val="single" w:sz="6" w:space="0" w:color="auto"/>
                    <w:bottom w:val="single" w:sz="6" w:space="0" w:color="auto"/>
                    <w:right w:val="nil"/>
                  </w:tcBorders>
                </w:tcPr>
                <w:p w14:paraId="21333327"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Проекти, които имат готова техническа документация - инвестиционен проект, изработен във фаза „Технически проект” или „Работен проект” в съответствие с изискванията на ЗУТ </w:t>
                  </w:r>
                </w:p>
              </w:tc>
              <w:tc>
                <w:tcPr>
                  <w:tcW w:w="4536" w:type="dxa"/>
                  <w:tcBorders>
                    <w:top w:val="single" w:sz="6" w:space="0" w:color="auto"/>
                    <w:left w:val="single" w:sz="6" w:space="0" w:color="auto"/>
                    <w:bottom w:val="single" w:sz="6" w:space="0" w:color="auto"/>
                    <w:right w:val="single" w:sz="6" w:space="0" w:color="auto"/>
                  </w:tcBorders>
                </w:tcPr>
                <w:p w14:paraId="443E2932"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51E70E99"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093A8285"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4962" w:type="dxa"/>
                  <w:tcBorders>
                    <w:top w:val="single" w:sz="6" w:space="0" w:color="auto"/>
                    <w:left w:val="single" w:sz="6" w:space="0" w:color="auto"/>
                    <w:bottom w:val="single" w:sz="6" w:space="0" w:color="auto"/>
                    <w:right w:val="nil"/>
                  </w:tcBorders>
                </w:tcPr>
                <w:p w14:paraId="24ADCDDC"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Проекти, осигуряващи подобряване на околната среда и постигащи екологичен ефект и въздействие </w:t>
                  </w:r>
                </w:p>
              </w:tc>
              <w:tc>
                <w:tcPr>
                  <w:tcW w:w="4536" w:type="dxa"/>
                  <w:tcBorders>
                    <w:top w:val="single" w:sz="6" w:space="0" w:color="auto"/>
                    <w:left w:val="single" w:sz="6" w:space="0" w:color="auto"/>
                    <w:bottom w:val="single" w:sz="6" w:space="0" w:color="auto"/>
                    <w:right w:val="single" w:sz="6" w:space="0" w:color="auto"/>
                  </w:tcBorders>
                </w:tcPr>
                <w:p w14:paraId="3ABF2479"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0AC5D258"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2827D8DA"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4962" w:type="dxa"/>
                  <w:tcBorders>
                    <w:top w:val="single" w:sz="6" w:space="0" w:color="auto"/>
                    <w:left w:val="single" w:sz="6" w:space="0" w:color="auto"/>
                    <w:bottom w:val="single" w:sz="6" w:space="0" w:color="auto"/>
                    <w:right w:val="nil"/>
                  </w:tcBorders>
                </w:tcPr>
                <w:p w14:paraId="11BF54D9"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Проектът предвижда изграждане на достъпна инфраструктура за хора в неравностойно положение </w:t>
                  </w:r>
                </w:p>
                <w:p w14:paraId="7426D375" w14:textId="77777777" w:rsidR="00C6065B" w:rsidRDefault="00C6065B" w:rsidP="00B63893">
                  <w:pPr>
                    <w:autoSpaceDE w:val="0"/>
                    <w:autoSpaceDN w:val="0"/>
                    <w:adjustRightInd w:val="0"/>
                    <w:spacing w:after="0" w:line="240" w:lineRule="auto"/>
                    <w:rPr>
                      <w:rFonts w:ascii="Times New Roman" w:hAnsi="Times New Roman" w:cs="Times New Roman"/>
                      <w:b/>
                      <w:bCs/>
                      <w:color w:val="000000"/>
                      <w:sz w:val="24"/>
                      <w:szCs w:val="24"/>
                    </w:rPr>
                  </w:pPr>
                </w:p>
                <w:p w14:paraId="1BB6F1CC" w14:textId="02422BB5" w:rsidR="00C6065B" w:rsidRDefault="00C6065B" w:rsidP="00B63893">
                  <w:pPr>
                    <w:autoSpaceDE w:val="0"/>
                    <w:autoSpaceDN w:val="0"/>
                    <w:adjustRightInd w:val="0"/>
                    <w:spacing w:after="0" w:line="240" w:lineRule="auto"/>
                    <w:rPr>
                      <w:rFonts w:ascii="Times New Roman" w:hAnsi="Times New Roman" w:cs="Times New Roman"/>
                      <w:b/>
                      <w:bCs/>
                      <w:color w:val="000000"/>
                      <w:sz w:val="24"/>
                      <w:szCs w:val="24"/>
                    </w:rPr>
                  </w:pPr>
                </w:p>
              </w:tc>
              <w:tc>
                <w:tcPr>
                  <w:tcW w:w="4536" w:type="dxa"/>
                  <w:tcBorders>
                    <w:top w:val="single" w:sz="6" w:space="0" w:color="auto"/>
                    <w:left w:val="single" w:sz="6" w:space="0" w:color="auto"/>
                    <w:bottom w:val="single" w:sz="6" w:space="0" w:color="auto"/>
                    <w:right w:val="single" w:sz="6" w:space="0" w:color="auto"/>
                  </w:tcBorders>
                </w:tcPr>
                <w:p w14:paraId="5466E757"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11CD76F6" w14:textId="77777777" w:rsidTr="00BE659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6" w:space="0" w:color="auto"/>
                    <w:right w:val="single" w:sz="6" w:space="0" w:color="auto"/>
                  </w:tcBorders>
                  <w:shd w:val="solid" w:color="C0C0C0" w:fill="auto"/>
                </w:tcPr>
                <w:p w14:paraId="6223365C" w14:textId="77777777" w:rsidR="00B63893"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4962" w:type="dxa"/>
                  <w:tcBorders>
                    <w:top w:val="single" w:sz="6" w:space="0" w:color="auto"/>
                    <w:left w:val="single" w:sz="6" w:space="0" w:color="auto"/>
                    <w:bottom w:val="single" w:sz="6" w:space="0" w:color="auto"/>
                    <w:right w:val="nil"/>
                  </w:tcBorders>
                  <w:shd w:val="solid" w:color="C0C0C0" w:fill="auto"/>
                </w:tcPr>
                <w:p w14:paraId="7BE950B1" w14:textId="77777777" w:rsidR="00B63893" w:rsidRDefault="00B63893" w:rsidP="00B63893">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Максимален брой точки</w:t>
                  </w:r>
                </w:p>
              </w:tc>
              <w:tc>
                <w:tcPr>
                  <w:tcW w:w="4536" w:type="dxa"/>
                  <w:tcBorders>
                    <w:top w:val="single" w:sz="6" w:space="0" w:color="auto"/>
                    <w:left w:val="single" w:sz="6" w:space="0" w:color="auto"/>
                    <w:bottom w:val="single" w:sz="6" w:space="0" w:color="auto"/>
                    <w:right w:val="single" w:sz="6" w:space="0" w:color="auto"/>
                  </w:tcBorders>
                  <w:shd w:val="solid" w:color="C0C0C0" w:fill="auto"/>
                </w:tcPr>
                <w:p w14:paraId="40C99E5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B63893" w14:paraId="2122779C" w14:textId="77777777" w:rsidTr="00BE659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4" w:space="0" w:color="auto"/>
                    <w:right w:val="single" w:sz="6" w:space="0" w:color="auto"/>
                  </w:tcBorders>
                  <w:shd w:val="solid" w:color="C0C0C0" w:fill="auto"/>
                </w:tcPr>
                <w:p w14:paraId="125963AF" w14:textId="77777777" w:rsidR="00B63893"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4962" w:type="dxa"/>
                  <w:tcBorders>
                    <w:top w:val="single" w:sz="6" w:space="0" w:color="auto"/>
                    <w:left w:val="single" w:sz="6" w:space="0" w:color="auto"/>
                    <w:bottom w:val="single" w:sz="4" w:space="0" w:color="auto"/>
                    <w:right w:val="nil"/>
                  </w:tcBorders>
                  <w:shd w:val="solid" w:color="C0C0C0" w:fill="auto"/>
                </w:tcPr>
                <w:p w14:paraId="0A51D96A" w14:textId="77777777" w:rsidR="00B63893" w:rsidRDefault="00B63893" w:rsidP="00B63893">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Праг на преминаване</w:t>
                  </w:r>
                </w:p>
              </w:tc>
              <w:tc>
                <w:tcPr>
                  <w:tcW w:w="4536" w:type="dxa"/>
                  <w:tcBorders>
                    <w:top w:val="single" w:sz="6" w:space="0" w:color="auto"/>
                    <w:left w:val="single" w:sz="6" w:space="0" w:color="auto"/>
                    <w:bottom w:val="single" w:sz="4" w:space="0" w:color="auto"/>
                    <w:right w:val="single" w:sz="6" w:space="0" w:color="auto"/>
                  </w:tcBorders>
                  <w:shd w:val="solid" w:color="C0C0C0" w:fill="auto"/>
                </w:tcPr>
                <w:p w14:paraId="010E6AC3" w14:textId="4DDCD646" w:rsidR="00B63893" w:rsidRDefault="00A32428"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DA749A">
                    <w:rPr>
                      <w:rFonts w:ascii="Times New Roman" w:hAnsi="Times New Roman" w:cs="Times New Roman"/>
                      <w:b/>
                      <w:bCs/>
                      <w:color w:val="000000"/>
                      <w:sz w:val="24"/>
                      <w:szCs w:val="24"/>
                    </w:rPr>
                    <w:t>0</w:t>
                  </w:r>
                </w:p>
              </w:tc>
            </w:tr>
          </w:tbl>
          <w:p w14:paraId="716E5443" w14:textId="77777777" w:rsidR="00F144F8" w:rsidRPr="00F144F8" w:rsidRDefault="00F144F8" w:rsidP="00F144F8">
            <w:pPr>
              <w:pStyle w:val="ListParagraph"/>
              <w:spacing w:before="120" w:after="120"/>
              <w:jc w:val="both"/>
              <w:rPr>
                <w:b/>
                <w:bCs/>
                <w:noProof/>
                <w:snapToGrid w:val="0"/>
                <w:sz w:val="24"/>
                <w:szCs w:val="24"/>
              </w:rPr>
            </w:pPr>
          </w:p>
          <w:p w14:paraId="6A5481FD" w14:textId="3F8A7C7B" w:rsidR="00164623" w:rsidRDefault="00F144F8" w:rsidP="00F144F8">
            <w:pPr>
              <w:pStyle w:val="ListParagraph"/>
              <w:numPr>
                <w:ilvl w:val="0"/>
                <w:numId w:val="21"/>
              </w:numPr>
              <w:spacing w:before="120" w:after="120"/>
              <w:jc w:val="both"/>
              <w:rPr>
                <w:b/>
                <w:bCs/>
                <w:noProof/>
                <w:snapToGrid w:val="0"/>
                <w:sz w:val="24"/>
                <w:szCs w:val="24"/>
              </w:rPr>
            </w:pPr>
            <w:r>
              <w:rPr>
                <w:b/>
                <w:bCs/>
                <w:noProof/>
                <w:snapToGrid w:val="0"/>
                <w:sz w:val="24"/>
                <w:szCs w:val="24"/>
              </w:rPr>
              <w:t>Съответствие с критерий за оценка 1 „</w:t>
            </w:r>
            <w:r w:rsidRPr="00F144F8">
              <w:rPr>
                <w:b/>
                <w:bCs/>
                <w:noProof/>
                <w:snapToGrid w:val="0"/>
                <w:sz w:val="24"/>
                <w:szCs w:val="24"/>
              </w:rPr>
              <w:t>Проекти, отговарящи на Приоритет 1 „Модернизирана базисна инфраструктура и качествена жизнена и околна среда“  на Общински план за развитие на общи</w:t>
            </w:r>
            <w:r>
              <w:rPr>
                <w:b/>
                <w:bCs/>
                <w:noProof/>
                <w:snapToGrid w:val="0"/>
                <w:sz w:val="24"/>
                <w:szCs w:val="24"/>
              </w:rPr>
              <w:t>на Поморие за периода 2014-2020 г.“</w:t>
            </w:r>
            <w:r w:rsidR="00C33EAD">
              <w:rPr>
                <w:b/>
                <w:bCs/>
                <w:noProof/>
                <w:snapToGrid w:val="0"/>
                <w:sz w:val="24"/>
                <w:szCs w:val="24"/>
              </w:rPr>
              <w:t xml:space="preserve">: </w:t>
            </w:r>
          </w:p>
          <w:p w14:paraId="6464C2B6" w14:textId="77777777" w:rsidR="00716FDA" w:rsidRDefault="00716FDA" w:rsidP="00716FDA">
            <w:pPr>
              <w:pStyle w:val="ListParagraph"/>
              <w:spacing w:before="120" w:after="120"/>
              <w:jc w:val="both"/>
              <w:rPr>
                <w:b/>
                <w:bCs/>
                <w:noProof/>
                <w:snapToGrid w:val="0"/>
                <w:sz w:val="24"/>
                <w:szCs w:val="24"/>
              </w:rPr>
            </w:pPr>
          </w:p>
          <w:p w14:paraId="25641DE2" w14:textId="6FE7C5C3" w:rsidR="00716FDA" w:rsidRDefault="00716FDA" w:rsidP="00716FDA">
            <w:pPr>
              <w:spacing w:before="120" w:after="120"/>
              <w:jc w:val="both"/>
              <w:rPr>
                <w:bCs/>
                <w:noProof/>
                <w:snapToGrid w:val="0"/>
                <w:sz w:val="24"/>
                <w:szCs w:val="24"/>
              </w:rPr>
            </w:pPr>
            <w:r w:rsidRPr="00716FDA">
              <w:rPr>
                <w:bCs/>
                <w:noProof/>
                <w:snapToGrid w:val="0"/>
                <w:sz w:val="24"/>
                <w:szCs w:val="24"/>
              </w:rPr>
              <w:t>Когато заявява съответствие с критерий за оценка 1: "Проекти,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 кандидатът следва да опише в т.11 Допълнителна информация във Формуляра за кандидатстване по какъв начин проектното му предложение отговаря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Pr>
                <w:bCs/>
                <w:noProof/>
                <w:snapToGrid w:val="0"/>
                <w:sz w:val="24"/>
                <w:szCs w:val="24"/>
              </w:rPr>
              <w:t xml:space="preserve"> </w:t>
            </w:r>
          </w:p>
          <w:p w14:paraId="2F309D06" w14:textId="4F561CB3" w:rsidR="003405B9" w:rsidRPr="00716FDA" w:rsidRDefault="003405B9" w:rsidP="00716FDA">
            <w:pPr>
              <w:spacing w:before="120" w:after="120"/>
              <w:jc w:val="both"/>
              <w:rPr>
                <w:bCs/>
                <w:noProof/>
                <w:snapToGrid w:val="0"/>
                <w:sz w:val="24"/>
                <w:szCs w:val="24"/>
              </w:rPr>
            </w:pPr>
            <w:r>
              <w:rPr>
                <w:bCs/>
                <w:noProof/>
                <w:snapToGrid w:val="0"/>
                <w:sz w:val="24"/>
                <w:szCs w:val="24"/>
              </w:rPr>
              <w:t xml:space="preserve">Съответния брой точки се получава кандидат, чието проектното предложение отговаря на </w:t>
            </w:r>
            <w:r w:rsidRPr="003405B9">
              <w:rPr>
                <w:bCs/>
                <w:noProof/>
                <w:snapToGrid w:val="0"/>
                <w:sz w:val="24"/>
                <w:szCs w:val="24"/>
              </w:rPr>
              <w:t>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p>
          <w:p w14:paraId="0DCB7B2B" w14:textId="7958A9CF" w:rsidR="00F144F8" w:rsidRDefault="00F144F8" w:rsidP="00F144F8">
            <w:pPr>
              <w:spacing w:before="120" w:after="120"/>
              <w:jc w:val="both"/>
              <w:rPr>
                <w:bCs/>
                <w:noProof/>
                <w:snapToGrid w:val="0"/>
                <w:sz w:val="24"/>
                <w:szCs w:val="24"/>
              </w:rPr>
            </w:pPr>
            <w:r w:rsidRPr="00F144F8">
              <w:rPr>
                <w:bCs/>
                <w:noProof/>
                <w:snapToGrid w:val="0"/>
                <w:sz w:val="24"/>
                <w:szCs w:val="24"/>
              </w:rPr>
              <w:t xml:space="preserve">Приоритетът има за цел развитие и модернизация на елементите на базисната инфраструктура, с оглед подобряване на свързаността и достъпността до основните услуги за населението, осигуряване на екологосъобразна жизнена среда и привличане на инвестиции. Модерната базисна инфраструктура е предпоставка за осигуряване на качествена жизнена и околна среда, за увеличаване конкурентоспособността на общината, </w:t>
            </w:r>
            <w:r w:rsidRPr="00F144F8">
              <w:rPr>
                <w:bCs/>
                <w:noProof/>
                <w:snapToGrid w:val="0"/>
                <w:sz w:val="24"/>
                <w:szCs w:val="24"/>
              </w:rPr>
              <w:lastRenderedPageBreak/>
              <w:t>генериране на растеж и заетост, което ще допринесе и за постигане целите на Стратегия „Европа 2020” на национално ниво.</w:t>
            </w:r>
            <w:r w:rsidR="009B347E">
              <w:rPr>
                <w:bCs/>
                <w:noProof/>
                <w:snapToGrid w:val="0"/>
                <w:sz w:val="24"/>
                <w:szCs w:val="24"/>
              </w:rPr>
              <w:t xml:space="preserve"> </w:t>
            </w:r>
          </w:p>
          <w:p w14:paraId="63F5CFDC" w14:textId="77777777" w:rsidR="00031639" w:rsidRDefault="00031639" w:rsidP="00F144F8">
            <w:pPr>
              <w:spacing w:before="120" w:after="120"/>
              <w:jc w:val="both"/>
              <w:rPr>
                <w:bCs/>
                <w:noProof/>
                <w:snapToGrid w:val="0"/>
                <w:sz w:val="24"/>
                <w:szCs w:val="24"/>
              </w:rPr>
            </w:pPr>
          </w:p>
          <w:p w14:paraId="5240DF43" w14:textId="18D84C2B" w:rsidR="00F144F8" w:rsidRPr="00F144F8" w:rsidRDefault="00F144F8" w:rsidP="00F144F8">
            <w:pPr>
              <w:pStyle w:val="ListParagraph"/>
              <w:numPr>
                <w:ilvl w:val="0"/>
                <w:numId w:val="21"/>
              </w:numPr>
              <w:spacing w:before="120" w:after="120"/>
              <w:jc w:val="both"/>
              <w:rPr>
                <w:b/>
                <w:bCs/>
                <w:noProof/>
                <w:snapToGrid w:val="0"/>
                <w:sz w:val="24"/>
                <w:szCs w:val="24"/>
              </w:rPr>
            </w:pPr>
            <w:r w:rsidRPr="00F144F8">
              <w:rPr>
                <w:b/>
                <w:bCs/>
                <w:noProof/>
                <w:snapToGrid w:val="0"/>
                <w:sz w:val="24"/>
                <w:szCs w:val="24"/>
              </w:rPr>
              <w:t>Съответствие с критерий за оценка 3 „Брой население, което ще се възползва от подобрените основни услуги, и обхвата на  териориално въздействие“:</w:t>
            </w:r>
          </w:p>
          <w:p w14:paraId="191C2E6B" w14:textId="087A8C53" w:rsidR="0089690E" w:rsidRDefault="0089690E" w:rsidP="00F144F8">
            <w:pPr>
              <w:spacing w:before="120" w:after="120"/>
              <w:jc w:val="both"/>
              <w:rPr>
                <w:bCs/>
                <w:noProof/>
                <w:snapToGrid w:val="0"/>
                <w:sz w:val="24"/>
                <w:szCs w:val="24"/>
              </w:rPr>
            </w:pPr>
            <w:r>
              <w:rPr>
                <w:bCs/>
                <w:noProof/>
                <w:snapToGrid w:val="0"/>
                <w:sz w:val="24"/>
                <w:szCs w:val="24"/>
              </w:rPr>
              <w:t>За доказване на съответствие с критерий за оценка 3 кандидатът следва да представи следните документи (ако е приложимо):</w:t>
            </w:r>
          </w:p>
          <w:p w14:paraId="47A2AAE2" w14:textId="77777777" w:rsidR="0089690E" w:rsidRPr="0089690E" w:rsidRDefault="0089690E" w:rsidP="0089690E">
            <w:pPr>
              <w:spacing w:before="120" w:after="120"/>
              <w:jc w:val="both"/>
              <w:rPr>
                <w:bCs/>
                <w:noProof/>
                <w:snapToGrid w:val="0"/>
                <w:sz w:val="24"/>
                <w:szCs w:val="24"/>
              </w:rPr>
            </w:pPr>
            <w:r w:rsidRPr="0089690E">
              <w:rPr>
                <w:bCs/>
                <w:noProof/>
                <w:snapToGrid w:val="0"/>
                <w:sz w:val="24"/>
                <w:szCs w:val="24"/>
              </w:rPr>
              <w:t>1.</w:t>
            </w:r>
            <w:r w:rsidRPr="0089690E">
              <w:rPr>
                <w:bCs/>
                <w:noProof/>
                <w:snapToGrid w:val="0"/>
                <w:sz w:val="24"/>
                <w:szCs w:val="24"/>
              </w:rPr>
              <w:tab/>
              <w:t>Справка за населението в населеното място/места, разположени на територията на община Поморие (по последни данни на Националния статистически институт) където ще се изпълняват инвестициите по проекта, в съответствие с критерий за подбор 3“Брой население, което ще се възползва от подобрените основни услуги, и обхвата на  териториално въздействие”. Представя се във формат „pdf“.</w:t>
            </w:r>
          </w:p>
          <w:p w14:paraId="468288DA" w14:textId="3D2F90CB" w:rsidR="0089690E" w:rsidRPr="0089690E" w:rsidRDefault="0089690E" w:rsidP="0089690E">
            <w:pPr>
              <w:spacing w:before="120" w:after="120"/>
              <w:jc w:val="both"/>
              <w:rPr>
                <w:bCs/>
                <w:noProof/>
                <w:snapToGrid w:val="0"/>
                <w:sz w:val="24"/>
                <w:szCs w:val="24"/>
              </w:rPr>
            </w:pPr>
            <w:r w:rsidRPr="0089690E">
              <w:rPr>
                <w:bCs/>
                <w:noProof/>
                <w:snapToGrid w:val="0"/>
                <w:sz w:val="24"/>
                <w:szCs w:val="24"/>
              </w:rPr>
              <w:t>2.</w:t>
            </w:r>
            <w:r w:rsidRPr="0089690E">
              <w:rPr>
                <w:bCs/>
                <w:noProof/>
                <w:snapToGrid w:val="0"/>
                <w:sz w:val="24"/>
                <w:szCs w:val="24"/>
              </w:rPr>
              <w:tab/>
              <w:t xml:space="preserve">Справка за съществуващия и нает от кандидата персонал към края на предходната спрямо кандидатстването календарна година и за последния отчетен период за фирми/организации, създадени през текущата стопанска година (ако е приложимо). Справката се представя, когато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(неприложимо за общини). Общините </w:t>
            </w:r>
            <w:r w:rsidR="00F17860">
              <w:rPr>
                <w:bCs/>
                <w:noProof/>
                <w:snapToGrid w:val="0"/>
                <w:sz w:val="24"/>
                <w:szCs w:val="24"/>
              </w:rPr>
              <w:t>описват</w:t>
            </w:r>
            <w:r w:rsidRPr="0089690E">
              <w:rPr>
                <w:bCs/>
                <w:noProof/>
                <w:snapToGrid w:val="0"/>
                <w:sz w:val="24"/>
                <w:szCs w:val="24"/>
              </w:rPr>
              <w:t xml:space="preserve"> съответствие с данните, въведени в Формуля</w:t>
            </w:r>
            <w:r w:rsidR="00053A39">
              <w:rPr>
                <w:bCs/>
                <w:noProof/>
                <w:snapToGrid w:val="0"/>
                <w:sz w:val="24"/>
                <w:szCs w:val="24"/>
              </w:rPr>
              <w:t>ра за мониторинг (Приложение № 4</w:t>
            </w:r>
            <w:r w:rsidRPr="0089690E">
              <w:rPr>
                <w:bCs/>
                <w:noProof/>
                <w:snapToGrid w:val="0"/>
                <w:sz w:val="24"/>
                <w:szCs w:val="24"/>
              </w:rPr>
              <w:t>, т.3).</w:t>
            </w:r>
          </w:p>
          <w:p w14:paraId="624439E7" w14:textId="7B5D28B5" w:rsidR="00DB4649" w:rsidRDefault="0089690E" w:rsidP="0089690E">
            <w:pPr>
              <w:spacing w:before="120" w:after="120"/>
              <w:jc w:val="both"/>
              <w:rPr>
                <w:bCs/>
                <w:noProof/>
                <w:snapToGrid w:val="0"/>
                <w:sz w:val="24"/>
                <w:szCs w:val="24"/>
              </w:rPr>
            </w:pPr>
            <w:r w:rsidRPr="0089690E">
              <w:rPr>
                <w:bCs/>
                <w:noProof/>
                <w:snapToGrid w:val="0"/>
                <w:sz w:val="24"/>
                <w:szCs w:val="24"/>
              </w:rPr>
              <w:t>3.</w:t>
            </w:r>
            <w:r w:rsidRPr="0089690E">
              <w:rPr>
                <w:bCs/>
                <w:noProof/>
                <w:snapToGrid w:val="0"/>
                <w:sz w:val="24"/>
                <w:szCs w:val="24"/>
              </w:rPr>
              <w:tab/>
              <w:t>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 случай че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w:t>
            </w:r>
            <w:r>
              <w:rPr>
                <w:bCs/>
                <w:noProof/>
                <w:snapToGrid w:val="0"/>
                <w:sz w:val="24"/>
                <w:szCs w:val="24"/>
              </w:rPr>
              <w:t>мо за общини). Общините описват</w:t>
            </w:r>
            <w:r w:rsidRPr="0089690E">
              <w:rPr>
                <w:bCs/>
                <w:noProof/>
                <w:snapToGrid w:val="0"/>
                <w:sz w:val="24"/>
                <w:szCs w:val="24"/>
              </w:rPr>
              <w:t xml:space="preserve"> съответствие с данните, въведени в Формуляра за мониторинг (Приложение № </w:t>
            </w:r>
            <w:r w:rsidR="00053A39">
              <w:rPr>
                <w:bCs/>
                <w:noProof/>
                <w:snapToGrid w:val="0"/>
                <w:sz w:val="24"/>
                <w:szCs w:val="24"/>
              </w:rPr>
              <w:t>4</w:t>
            </w:r>
            <w:r w:rsidRPr="0089690E">
              <w:rPr>
                <w:bCs/>
                <w:noProof/>
                <w:snapToGrid w:val="0"/>
                <w:sz w:val="24"/>
                <w:szCs w:val="24"/>
              </w:rPr>
              <w:t>, т.3).</w:t>
            </w:r>
          </w:p>
          <w:p w14:paraId="37DAE46F" w14:textId="77777777" w:rsidR="006D3E9A" w:rsidRPr="0011499C" w:rsidRDefault="006D3E9A" w:rsidP="006D3E9A">
            <w:pPr>
              <w:spacing w:before="120" w:after="120"/>
              <w:jc w:val="both"/>
              <w:rPr>
                <w:b/>
                <w:bCs/>
                <w:noProof/>
                <w:snapToGrid w:val="0"/>
                <w:sz w:val="24"/>
                <w:szCs w:val="24"/>
              </w:rPr>
            </w:pPr>
            <w:r w:rsidRPr="0011499C">
              <w:rPr>
                <w:b/>
                <w:bCs/>
                <w:noProof/>
                <w:snapToGrid w:val="0"/>
                <w:sz w:val="24"/>
                <w:szCs w:val="24"/>
              </w:rPr>
              <w:t>По дейност: Строителство, реконструкция и/или рехабилитация на нови и съществуващи общински пътища, улици, тротоари, и съоръженията и принадлежностите към тях</w:t>
            </w:r>
          </w:p>
          <w:p w14:paraId="637A4B97"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Точките по този критерий се определят като:</w:t>
            </w:r>
          </w:p>
          <w:p w14:paraId="65B2D4D1"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      се отчете сборът на реконструираните улици в рамките на едно населено място, независимо от това дали има директна свързаност между реконструираните участъци. Населението на населено място с най-висок сбор се взима предвид при определяне на точките по този критерий;</w:t>
            </w:r>
          </w:p>
          <w:p w14:paraId="189B4486"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 xml:space="preserve">-  се отчете броят на населението на населеното място/населените места, обслужвани от най-дългата реконструирана/рехабилитирана пътна отсечка, измерена в мерна единица за </w:t>
            </w:r>
            <w:r w:rsidRPr="006D3E9A">
              <w:rPr>
                <w:bCs/>
                <w:noProof/>
                <w:snapToGrid w:val="0"/>
                <w:sz w:val="24"/>
                <w:szCs w:val="24"/>
              </w:rPr>
              <w:lastRenderedPageBreak/>
              <w:t>дължина (м., км.) от съответния общински път, включен в Решение № 236 от 13 април 2007 г. на Министерския съвет за утвърждаване списък на общинските пътища.</w:t>
            </w:r>
          </w:p>
          <w:p w14:paraId="75863B34" w14:textId="035D557B" w:rsidR="006D3E9A" w:rsidRDefault="006D3E9A" w:rsidP="0089690E">
            <w:pPr>
              <w:spacing w:before="120" w:after="120"/>
              <w:jc w:val="both"/>
              <w:rPr>
                <w:bCs/>
                <w:noProof/>
                <w:snapToGrid w:val="0"/>
                <w:sz w:val="24"/>
                <w:szCs w:val="24"/>
              </w:rPr>
            </w:pPr>
            <w:r w:rsidRPr="006D3E9A">
              <w:rPr>
                <w:bCs/>
                <w:noProof/>
                <w:snapToGrid w:val="0"/>
                <w:sz w:val="24"/>
                <w:szCs w:val="24"/>
              </w:rPr>
              <w:t>Когато заявява съответствие с критерий за оценка 3 „Брой население, което ще се възползва от подобрените основни услуги и обхвата на териториално въздействие“ в т. 11. Допълнителна информация във Формуляра за кандидатстване кандидатът следва да опише в кои населени места ще се реализират дейностите по проекта, както и населението в тях към по последни данни на НСИ. Кандидатът следва да представи информация за броя на населението, което ще се възползва от подобрените основни услуги и обхвата на териториално въздействие.</w:t>
            </w:r>
          </w:p>
          <w:p w14:paraId="04ECDC48" w14:textId="27C5A53C" w:rsidR="00F144F8" w:rsidRDefault="00CF56AF" w:rsidP="00CC3131">
            <w:pPr>
              <w:spacing w:before="120" w:after="120"/>
              <w:jc w:val="both"/>
              <w:rPr>
                <w:b/>
                <w:bCs/>
                <w:noProof/>
                <w:snapToGrid w:val="0"/>
                <w:sz w:val="24"/>
                <w:szCs w:val="24"/>
              </w:rPr>
            </w:pPr>
            <w:r>
              <w:rPr>
                <w:bCs/>
                <w:noProof/>
                <w:snapToGrid w:val="0"/>
                <w:sz w:val="24"/>
                <w:szCs w:val="24"/>
              </w:rPr>
              <w:t xml:space="preserve">       </w:t>
            </w:r>
            <w:r w:rsidR="00EB592B">
              <w:rPr>
                <w:b/>
                <w:bCs/>
                <w:noProof/>
                <w:snapToGrid w:val="0"/>
                <w:sz w:val="24"/>
                <w:szCs w:val="24"/>
              </w:rPr>
              <w:t xml:space="preserve">3. </w:t>
            </w:r>
            <w:r w:rsidRPr="00CF56AF">
              <w:rPr>
                <w:b/>
                <w:bCs/>
                <w:noProof/>
                <w:snapToGrid w:val="0"/>
                <w:sz w:val="24"/>
                <w:szCs w:val="24"/>
              </w:rPr>
              <w:t>Съответствие с критерий за оценка 4 „Проекти, създаващи работни места при изпълнение на допустимите дейности“:</w:t>
            </w:r>
          </w:p>
          <w:p w14:paraId="6CACA815" w14:textId="5CFE085A" w:rsidR="00EB592B" w:rsidRDefault="00164623" w:rsidP="00EB592B">
            <w:pPr>
              <w:spacing w:before="120" w:after="120"/>
              <w:jc w:val="both"/>
              <w:rPr>
                <w:bCs/>
                <w:noProof/>
                <w:snapToGrid w:val="0"/>
                <w:sz w:val="24"/>
                <w:szCs w:val="24"/>
              </w:rPr>
            </w:pPr>
            <w:r w:rsidRPr="00EB592B">
              <w:rPr>
                <w:bCs/>
                <w:noProof/>
                <w:snapToGrid w:val="0"/>
                <w:sz w:val="24"/>
                <w:szCs w:val="24"/>
              </w:rPr>
              <w:t>По критерий за оценка 4 съответния брой точки получават проекти, при които изпълнението на одобрените инвестиции и дейности водят до осигуряване на допълнителна заетост като съответния брой допълнителни работни места на трудово правоотношение за реализация на дейностите по проекта се вземат от т.3 от Формул</w:t>
            </w:r>
            <w:r w:rsidR="00056238" w:rsidRPr="00EB592B">
              <w:rPr>
                <w:bCs/>
                <w:noProof/>
                <w:snapToGrid w:val="0"/>
                <w:sz w:val="24"/>
                <w:szCs w:val="24"/>
              </w:rPr>
              <w:t>яра за мониторинг (Приложение</w:t>
            </w:r>
            <w:r w:rsidR="0088474D">
              <w:rPr>
                <w:bCs/>
                <w:noProof/>
                <w:snapToGrid w:val="0"/>
                <w:sz w:val="24"/>
                <w:szCs w:val="24"/>
              </w:rPr>
              <w:t xml:space="preserve"> №</w:t>
            </w:r>
            <w:r w:rsidR="000A6535">
              <w:rPr>
                <w:bCs/>
                <w:noProof/>
                <w:snapToGrid w:val="0"/>
                <w:sz w:val="24"/>
                <w:szCs w:val="24"/>
              </w:rPr>
              <w:t xml:space="preserve"> 4</w:t>
            </w:r>
            <w:r w:rsidR="00036400" w:rsidRPr="00EB592B">
              <w:rPr>
                <w:bCs/>
                <w:noProof/>
                <w:snapToGrid w:val="0"/>
                <w:sz w:val="24"/>
                <w:szCs w:val="24"/>
              </w:rPr>
              <w:t xml:space="preserve"> към Условията за кандидатстване</w:t>
            </w:r>
            <w:r w:rsidRPr="00EB592B">
              <w:rPr>
                <w:bCs/>
                <w:noProof/>
                <w:snapToGrid w:val="0"/>
                <w:sz w:val="24"/>
                <w:szCs w:val="24"/>
              </w:rPr>
              <w:t>).</w:t>
            </w:r>
          </w:p>
          <w:p w14:paraId="66FD75D0" w14:textId="7F13703C" w:rsidR="00EB592B" w:rsidRPr="00EB592B" w:rsidRDefault="00EB592B" w:rsidP="00EB592B">
            <w:pPr>
              <w:spacing w:before="120" w:after="120"/>
              <w:jc w:val="both"/>
              <w:rPr>
                <w:b/>
                <w:bCs/>
                <w:noProof/>
                <w:snapToGrid w:val="0"/>
                <w:sz w:val="24"/>
                <w:szCs w:val="24"/>
              </w:rPr>
            </w:pPr>
            <w:r w:rsidRPr="00EB592B">
              <w:rPr>
                <w:b/>
                <w:bCs/>
                <w:noProof/>
                <w:snapToGrid w:val="0"/>
                <w:sz w:val="24"/>
                <w:szCs w:val="24"/>
              </w:rPr>
              <w:t xml:space="preserve">        4.Съответствие с критерий за оценка 6 „Проекти, осигуряващи подобряване на околната среда и постигащи екологичен ефект и въздействие“:</w:t>
            </w:r>
          </w:p>
          <w:p w14:paraId="68DD635D" w14:textId="2E0CE7E0" w:rsidR="00576D82" w:rsidRPr="00EB592B" w:rsidRDefault="00A41E32" w:rsidP="00576D82">
            <w:pPr>
              <w:spacing w:before="120" w:after="120"/>
              <w:jc w:val="both"/>
              <w:rPr>
                <w:bCs/>
                <w:noProof/>
                <w:snapToGrid w:val="0"/>
                <w:sz w:val="24"/>
                <w:szCs w:val="24"/>
              </w:rPr>
            </w:pPr>
            <w:r w:rsidRPr="00EB592B">
              <w:rPr>
                <w:bCs/>
                <w:noProof/>
                <w:snapToGrid w:val="0"/>
                <w:sz w:val="24"/>
                <w:szCs w:val="24"/>
              </w:rPr>
              <w:t>Когато кандидатът заявява съответствие с критерий за подбор 6</w:t>
            </w:r>
            <w:r w:rsidR="000023B4" w:rsidRPr="00EB592B">
              <w:t xml:space="preserve"> „</w:t>
            </w:r>
            <w:r w:rsidR="000023B4" w:rsidRPr="00EB592B">
              <w:rPr>
                <w:bCs/>
                <w:noProof/>
                <w:snapToGrid w:val="0"/>
                <w:sz w:val="24"/>
                <w:szCs w:val="24"/>
              </w:rPr>
              <w:t>Проекти, осигуряващи подобряване на околната среда и постигащи екологичен ефект и въздействие“</w:t>
            </w:r>
            <w:r w:rsidRPr="00EB592B">
              <w:rPr>
                <w:bCs/>
                <w:noProof/>
                <w:snapToGrid w:val="0"/>
                <w:sz w:val="24"/>
                <w:szCs w:val="24"/>
              </w:rPr>
              <w:t>, к</w:t>
            </w:r>
            <w:r w:rsidR="00576D82" w:rsidRPr="00EB592B">
              <w:rPr>
                <w:sz w:val="24"/>
                <w:szCs w:val="24"/>
              </w:rPr>
              <w:t xml:space="preserve">ритерият се смята за изпълнен, ако е представен един от следните документи, доказващи съответствие с условието: </w:t>
            </w:r>
          </w:p>
          <w:p w14:paraId="176254F7" w14:textId="2C3DFBFD" w:rsidR="00576D82" w:rsidRPr="000E23D5" w:rsidRDefault="00576D82" w:rsidP="00576D82">
            <w:pPr>
              <w:spacing w:line="276" w:lineRule="auto"/>
              <w:jc w:val="both"/>
              <w:rPr>
                <w:sz w:val="24"/>
                <w:szCs w:val="24"/>
              </w:rPr>
            </w:pPr>
            <w:r w:rsidRPr="000E23D5">
              <w:rPr>
                <w:sz w:val="24"/>
                <w:szCs w:val="24"/>
              </w:rPr>
              <w:t>- Анализ</w:t>
            </w:r>
            <w:r w:rsidR="00A41E32" w:rsidRPr="000E23D5">
              <w:rPr>
                <w:sz w:val="24"/>
                <w:szCs w:val="24"/>
              </w:rPr>
              <w:t xml:space="preserve"> или обосновка</w:t>
            </w:r>
            <w:r w:rsidRPr="000E23D5">
              <w:rPr>
                <w:sz w:val="24"/>
                <w:szCs w:val="24"/>
              </w:rPr>
              <w:t>, удостоверяващ</w:t>
            </w:r>
            <w:r w:rsidR="00A41E32" w:rsidRPr="000E23D5">
              <w:rPr>
                <w:sz w:val="24"/>
                <w:szCs w:val="24"/>
              </w:rPr>
              <w:t>и</w:t>
            </w:r>
            <w:r w:rsidRPr="000E23D5">
              <w:rPr>
                <w:sz w:val="24"/>
                <w:szCs w:val="24"/>
              </w:rPr>
              <w:t xml:space="preserve"> </w:t>
            </w:r>
            <w:r w:rsidR="00A41E32" w:rsidRPr="000E23D5">
              <w:rPr>
                <w:sz w:val="24"/>
                <w:szCs w:val="24"/>
              </w:rPr>
              <w:t>подобряване на околната среда и постигащи екологичен ефект и въздействие</w:t>
            </w:r>
            <w:r w:rsidRPr="000E23D5">
              <w:rPr>
                <w:sz w:val="24"/>
                <w:szCs w:val="24"/>
              </w:rPr>
              <w:t>, изготвен и съгласуван от правоспособно лице с ком</w:t>
            </w:r>
            <w:r w:rsidR="006D53C7" w:rsidRPr="000E23D5">
              <w:rPr>
                <w:sz w:val="24"/>
                <w:szCs w:val="24"/>
              </w:rPr>
              <w:t>петентност в съответната област;</w:t>
            </w:r>
          </w:p>
          <w:p w14:paraId="5BC0901C" w14:textId="2A5AD1F7" w:rsidR="00D25486" w:rsidRPr="000E23D5" w:rsidRDefault="00576D82" w:rsidP="00CC3131">
            <w:pPr>
              <w:spacing w:before="120" w:after="120"/>
              <w:jc w:val="both"/>
              <w:rPr>
                <w:bCs/>
                <w:noProof/>
                <w:snapToGrid w:val="0"/>
                <w:sz w:val="24"/>
                <w:szCs w:val="24"/>
              </w:rPr>
            </w:pPr>
            <w:r w:rsidRPr="000E23D5">
              <w:rPr>
                <w:sz w:val="24"/>
                <w:szCs w:val="24"/>
              </w:rPr>
              <w:t>-</w:t>
            </w:r>
            <w:r w:rsidR="00A41E32" w:rsidRPr="000E23D5">
              <w:rPr>
                <w:bCs/>
                <w:noProof/>
                <w:snapToGrid w:val="0"/>
                <w:sz w:val="24"/>
                <w:szCs w:val="24"/>
              </w:rPr>
              <w:t xml:space="preserve"> </w:t>
            </w:r>
            <w:r w:rsidR="002268D1" w:rsidRPr="000E23D5">
              <w:rPr>
                <w:bCs/>
                <w:noProof/>
                <w:snapToGrid w:val="0"/>
                <w:sz w:val="24"/>
                <w:szCs w:val="24"/>
              </w:rPr>
              <w:t xml:space="preserve"> </w:t>
            </w:r>
            <w:r w:rsidRPr="000E23D5">
              <w:rPr>
                <w:bCs/>
                <w:noProof/>
                <w:snapToGrid w:val="0"/>
                <w:sz w:val="24"/>
                <w:szCs w:val="24"/>
              </w:rPr>
              <w:t xml:space="preserve">Сертификат, удостоверение, становище и др., доказващи, че с проекта се прилага интегриран подход към околната среда чрез съхраняване и опазване на компонентите на околната среда и насърчаване на ресурсната ефективност, вкл. дейности за превенция и управление на риска, издадени от съответна институция или правоспособно лице.    </w:t>
            </w:r>
          </w:p>
          <w:p w14:paraId="6460B6F3" w14:textId="7FA64455" w:rsidR="00EB592B" w:rsidRPr="00EB592B" w:rsidRDefault="00EB592B" w:rsidP="00CC3131">
            <w:pPr>
              <w:spacing w:before="120" w:after="120"/>
              <w:jc w:val="both"/>
              <w:rPr>
                <w:b/>
                <w:bCs/>
                <w:noProof/>
                <w:snapToGrid w:val="0"/>
                <w:sz w:val="24"/>
                <w:szCs w:val="24"/>
              </w:rPr>
            </w:pPr>
            <w:r w:rsidRPr="00EB592B">
              <w:rPr>
                <w:b/>
                <w:bCs/>
                <w:noProof/>
                <w:snapToGrid w:val="0"/>
                <w:sz w:val="24"/>
                <w:szCs w:val="24"/>
              </w:rPr>
              <w:t xml:space="preserve">          5.Съответствие с критерий за оценка 7 „Проектът предвижда изграждане на достъпна инфраструктура за хора в неравностойно положение“:</w:t>
            </w:r>
          </w:p>
          <w:p w14:paraId="523DB114" w14:textId="0D65F70D" w:rsidR="00CC3131" w:rsidRDefault="00CC3131" w:rsidP="00CC3131">
            <w:pPr>
              <w:spacing w:before="120" w:after="120"/>
              <w:jc w:val="both"/>
              <w:rPr>
                <w:bCs/>
                <w:noProof/>
                <w:snapToGrid w:val="0"/>
                <w:sz w:val="24"/>
                <w:szCs w:val="24"/>
              </w:rPr>
            </w:pPr>
            <w:r w:rsidRPr="00EB592B">
              <w:rPr>
                <w:bCs/>
                <w:noProof/>
                <w:snapToGrid w:val="0"/>
                <w:sz w:val="24"/>
                <w:szCs w:val="24"/>
              </w:rPr>
              <w:t>Когато кандидатът заявява съответствие с критерий за подбор 7</w:t>
            </w:r>
            <w:r w:rsidR="000023B4" w:rsidRPr="00EB592B">
              <w:t xml:space="preserve"> „</w:t>
            </w:r>
            <w:r w:rsidR="000023B4" w:rsidRPr="00EB592B">
              <w:rPr>
                <w:bCs/>
                <w:noProof/>
                <w:snapToGrid w:val="0"/>
                <w:sz w:val="24"/>
                <w:szCs w:val="24"/>
              </w:rPr>
              <w:t>Проектът предвижда изграждане на достъпна инфраструктура за хора в неравностойно положение“</w:t>
            </w:r>
            <w:r w:rsidRPr="00EB592B">
              <w:rPr>
                <w:bCs/>
                <w:noProof/>
                <w:snapToGrid w:val="0"/>
                <w:sz w:val="24"/>
                <w:szCs w:val="24"/>
              </w:rPr>
              <w:t xml:space="preserve">, представеният работен / технически проект </w:t>
            </w:r>
            <w:r w:rsidR="00A41E32" w:rsidRPr="00EB592B">
              <w:rPr>
                <w:bCs/>
                <w:noProof/>
                <w:snapToGrid w:val="0"/>
                <w:sz w:val="24"/>
                <w:szCs w:val="24"/>
              </w:rPr>
              <w:t xml:space="preserve">следва да </w:t>
            </w:r>
            <w:r w:rsidRPr="00EB592B">
              <w:rPr>
                <w:bCs/>
                <w:noProof/>
                <w:snapToGrid w:val="0"/>
                <w:sz w:val="24"/>
                <w:szCs w:val="24"/>
              </w:rPr>
              <w:t xml:space="preserve">е изпълнен и </w:t>
            </w:r>
            <w:r w:rsidR="00A41E32" w:rsidRPr="00EB592B">
              <w:rPr>
                <w:bCs/>
                <w:noProof/>
                <w:snapToGrid w:val="0"/>
                <w:sz w:val="24"/>
                <w:szCs w:val="24"/>
              </w:rPr>
              <w:t xml:space="preserve">да </w:t>
            </w:r>
            <w:r w:rsidRPr="00EB592B">
              <w:rPr>
                <w:bCs/>
                <w:noProof/>
                <w:snapToGrid w:val="0"/>
                <w:sz w:val="24"/>
                <w:szCs w:val="24"/>
              </w:rPr>
              <w:t xml:space="preserve">отговаря на изискванията на  НАРЕДБА № 4 от 1 юли 2009 г. за проектиране, изпълнение и поддържане </w:t>
            </w:r>
            <w:r w:rsidRPr="00EB592B">
              <w:rPr>
                <w:bCs/>
                <w:noProof/>
                <w:snapToGrid w:val="0"/>
                <w:sz w:val="24"/>
                <w:szCs w:val="24"/>
              </w:rPr>
              <w:lastRenderedPageBreak/>
              <w:t>на строежите в съответствие с изискванията за достъпна среда за населението, включително за хората с увреждания.</w:t>
            </w:r>
            <w:r w:rsidR="00F24258">
              <w:rPr>
                <w:bCs/>
                <w:noProof/>
                <w:snapToGrid w:val="0"/>
                <w:sz w:val="24"/>
                <w:szCs w:val="24"/>
              </w:rPr>
              <w:t xml:space="preserve"> В т.11 Допълнителна информация във Формуляра за кандидатстване кандидатът следва да опише</w:t>
            </w:r>
            <w:r w:rsidR="00F24258" w:rsidRPr="00F24258">
              <w:rPr>
                <w:bCs/>
                <w:noProof/>
                <w:snapToGrid w:val="0"/>
                <w:sz w:val="24"/>
                <w:szCs w:val="24"/>
              </w:rPr>
              <w:t xml:space="preserve"> по какъв начин представеният работен / технически проект е изпълнен и отговаря на изискванията на НАРЕДБА № 4 от 1 юли 2009 г. </w:t>
            </w:r>
          </w:p>
          <w:p w14:paraId="614B18D8" w14:textId="77777777" w:rsidR="00570758" w:rsidRPr="00EB592B" w:rsidRDefault="00570758" w:rsidP="00CC3131">
            <w:pPr>
              <w:spacing w:before="120" w:after="120"/>
              <w:jc w:val="both"/>
              <w:rPr>
                <w:bCs/>
                <w:noProof/>
                <w:snapToGrid w:val="0"/>
                <w:sz w:val="24"/>
                <w:szCs w:val="24"/>
              </w:rPr>
            </w:pPr>
          </w:p>
          <w:p w14:paraId="1CE2BEB1" w14:textId="41BA4745" w:rsidR="00971569" w:rsidRDefault="00971569" w:rsidP="00CC3131">
            <w:pPr>
              <w:spacing w:before="120" w:after="120"/>
              <w:jc w:val="both"/>
              <w:rPr>
                <w:b/>
                <w:bCs/>
                <w:noProof/>
                <w:snapToGrid w:val="0"/>
                <w:sz w:val="24"/>
                <w:szCs w:val="24"/>
              </w:rPr>
            </w:pPr>
            <w:r>
              <w:rPr>
                <w:b/>
                <w:bCs/>
                <w:noProof/>
                <w:snapToGrid w:val="0"/>
                <w:sz w:val="24"/>
                <w:szCs w:val="24"/>
              </w:rPr>
              <w:t>ВАЖНО!</w:t>
            </w:r>
          </w:p>
          <w:p w14:paraId="04DFBC65"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В случай, че две или повече проектни предложения получат еднакъв общ брой точки по критериите за оценка и не е наличен финансов ресурс за финансирането им, тези проекти ще бъдат допълнително приоритизирани/класирани по следния начин:</w:t>
            </w:r>
          </w:p>
          <w:p w14:paraId="164B3294" w14:textId="77777777" w:rsidR="00971569" w:rsidRPr="00971569" w:rsidRDefault="00971569" w:rsidP="00971569">
            <w:pPr>
              <w:spacing w:before="120" w:after="120"/>
              <w:jc w:val="both"/>
              <w:rPr>
                <w:b/>
                <w:bCs/>
                <w:noProof/>
                <w:snapToGrid w:val="0"/>
                <w:sz w:val="24"/>
                <w:szCs w:val="24"/>
              </w:rPr>
            </w:pPr>
          </w:p>
          <w:p w14:paraId="5DE020F8"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3. Брой население, което ще се възползва от подобрените основни услуги, и обхвата на  териториално въздействие;</w:t>
            </w:r>
          </w:p>
          <w:p w14:paraId="7A5DB5B0"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2. Проекти с дейности в населени места извън общинския център</w:t>
            </w:r>
          </w:p>
          <w:p w14:paraId="411C20AE" w14:textId="78101AD8" w:rsidR="00971569" w:rsidRPr="00BE1BEE"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4. Проекти, създаващи работни места при изпълнение на допустимите дейности.</w:t>
            </w:r>
          </w:p>
        </w:tc>
      </w:tr>
    </w:tbl>
    <w:p w14:paraId="004A1217" w14:textId="1BE965DF" w:rsidR="0006081F" w:rsidRPr="007713C1" w:rsidRDefault="00237BC8" w:rsidP="007570DC">
      <w:pPr>
        <w:pStyle w:val="Heading1"/>
      </w:pPr>
      <w:bookmarkStart w:id="71" w:name="_Toc445385615"/>
      <w:bookmarkStart w:id="72" w:name="_Toc534292228"/>
      <w:r>
        <w:lastRenderedPageBreak/>
        <w:t>2</w:t>
      </w:r>
      <w:r w:rsidR="00BE42E8">
        <w:t>3</w:t>
      </w:r>
      <w:r w:rsidR="00093CB8" w:rsidRPr="007713C1">
        <w:t>. Начин на подаване на проектните предложения:</w:t>
      </w:r>
      <w:bookmarkEnd w:id="71"/>
      <w:bookmarkEnd w:id="72"/>
    </w:p>
    <w:tbl>
      <w:tblPr>
        <w:tblStyle w:val="TableGrid"/>
        <w:tblW w:w="0" w:type="auto"/>
        <w:tblInd w:w="-147" w:type="dxa"/>
        <w:tblLook w:val="04A0" w:firstRow="1" w:lastRow="0" w:firstColumn="1" w:lastColumn="0" w:noHBand="0" w:noVBand="1"/>
      </w:tblPr>
      <w:tblGrid>
        <w:gridCol w:w="9493"/>
      </w:tblGrid>
      <w:tr w:rsidR="00093CB8" w:rsidRPr="007713C1" w14:paraId="3EB69163" w14:textId="77777777" w:rsidTr="00A251C2">
        <w:tc>
          <w:tcPr>
            <w:tcW w:w="9493" w:type="dxa"/>
          </w:tcPr>
          <w:p w14:paraId="3B2BF871" w14:textId="4B5C6787" w:rsidR="001333FF" w:rsidRPr="008E1F5A" w:rsidRDefault="00ED52D4" w:rsidP="008E1F5A">
            <w:pPr>
              <w:jc w:val="both"/>
              <w:rPr>
                <w:sz w:val="24"/>
                <w:szCs w:val="24"/>
              </w:rPr>
            </w:pPr>
            <w:r w:rsidRPr="008E1F5A">
              <w:rPr>
                <w:sz w:val="24"/>
                <w:szCs w:val="24"/>
              </w:rPr>
              <w:t xml:space="preserve">Документите за кандидатстване </w:t>
            </w:r>
            <w:r w:rsidR="003A3FA0" w:rsidRPr="008E1F5A">
              <w:rPr>
                <w:sz w:val="24"/>
                <w:szCs w:val="24"/>
              </w:rPr>
              <w:t xml:space="preserve">по настоящата процедура за подбор на проекти </w:t>
            </w:r>
            <w:r w:rsidRPr="008E1F5A">
              <w:rPr>
                <w:sz w:val="24"/>
                <w:szCs w:val="24"/>
              </w:rPr>
              <w:t xml:space="preserve">следва да бъдат подадени </w:t>
            </w:r>
            <w:r w:rsidRPr="00254ADE">
              <w:rPr>
                <w:b/>
                <w:sz w:val="24"/>
                <w:szCs w:val="24"/>
              </w:rPr>
              <w:t>само по електронен път</w:t>
            </w:r>
            <w:r w:rsidR="003A3FA0">
              <w:rPr>
                <w:b/>
                <w:sz w:val="24"/>
                <w:szCs w:val="24"/>
              </w:rPr>
              <w:t xml:space="preserve"> </w:t>
            </w:r>
            <w:r w:rsidR="003A3FA0" w:rsidRPr="008E1F5A">
              <w:rPr>
                <w:sz w:val="24"/>
                <w:szCs w:val="24"/>
              </w:rPr>
              <w:t>в ИСУН 2020</w:t>
            </w:r>
            <w:r w:rsidRPr="00254ADE">
              <w:rPr>
                <w:b/>
                <w:sz w:val="24"/>
                <w:szCs w:val="24"/>
              </w:rPr>
              <w:t>.</w:t>
            </w:r>
            <w:r w:rsidR="003A3FA0" w:rsidRPr="008E1F5A">
              <w:rPr>
                <w:sz w:val="24"/>
                <w:szCs w:val="24"/>
              </w:rPr>
              <w:t xml:space="preserve"> Интернет адресът на модула за електронно кандидатстване на ИСУН 2020 е: </w:t>
            </w:r>
            <w:hyperlink r:id="rId24" w:history="1">
              <w:r w:rsidR="003A3FA0" w:rsidRPr="008E1F5A">
                <w:rPr>
                  <w:rStyle w:val="Hyperlink"/>
                  <w:sz w:val="24"/>
                  <w:szCs w:val="24"/>
                </w:rPr>
                <w:t>http://eumis2020.government.bg/</w:t>
              </w:r>
            </w:hyperlink>
            <w:r w:rsidR="003A3FA0" w:rsidRPr="008E1F5A">
              <w:rPr>
                <w:sz w:val="24"/>
                <w:szCs w:val="24"/>
              </w:rPr>
              <w:t>, където е налично ръководство за работа със системата.</w:t>
            </w:r>
          </w:p>
          <w:p w14:paraId="4EB97ED3" w14:textId="77777777" w:rsidR="007400B6" w:rsidRPr="008E1F5A" w:rsidRDefault="007400B6" w:rsidP="008E1F5A">
            <w:pPr>
              <w:jc w:val="both"/>
              <w:rPr>
                <w:sz w:val="24"/>
                <w:szCs w:val="24"/>
              </w:rPr>
            </w:pPr>
          </w:p>
          <w:p w14:paraId="14447541" w14:textId="77777777" w:rsidR="007400B6" w:rsidRPr="007400B6" w:rsidRDefault="007400B6" w:rsidP="007400B6">
            <w:pPr>
              <w:jc w:val="both"/>
              <w:rPr>
                <w:sz w:val="24"/>
                <w:szCs w:val="24"/>
                <w:shd w:val="clear" w:color="auto" w:fill="FEFEFE"/>
              </w:rPr>
            </w:pPr>
            <w:r w:rsidRPr="007400B6">
              <w:rPr>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65681CCE" w14:textId="77777777" w:rsidR="007400B6" w:rsidRDefault="007400B6" w:rsidP="007400B6">
            <w:pPr>
              <w:jc w:val="both"/>
              <w:rPr>
                <w:sz w:val="24"/>
                <w:szCs w:val="24"/>
                <w:shd w:val="clear" w:color="auto" w:fill="FEFEFE"/>
              </w:rPr>
            </w:pPr>
          </w:p>
          <w:p w14:paraId="2152F6F6" w14:textId="020DC5C1" w:rsidR="007400B6" w:rsidRPr="007400B6" w:rsidRDefault="007400B6" w:rsidP="007400B6">
            <w:pPr>
              <w:jc w:val="both"/>
              <w:rPr>
                <w:sz w:val="24"/>
                <w:szCs w:val="24"/>
                <w:shd w:val="clear" w:color="auto" w:fill="FEFEFE"/>
              </w:rPr>
            </w:pPr>
            <w:r w:rsidRPr="007400B6">
              <w:rPr>
                <w:sz w:val="24"/>
                <w:szCs w:val="24"/>
                <w:shd w:val="clear" w:color="auto" w:fill="FEFEFE"/>
              </w:rPr>
              <w:t>Документите се прилагат към формуляра за кандидатстване във формат „рdf“, „xls“ или друг формат, указан в Раздел 24</w:t>
            </w:r>
            <w:r w:rsidRPr="007400B6">
              <w:rPr>
                <w:sz w:val="24"/>
                <w:szCs w:val="24"/>
              </w:rPr>
              <w:t xml:space="preserve"> „</w:t>
            </w:r>
            <w:r w:rsidRPr="007400B6">
              <w:rPr>
                <w:sz w:val="24"/>
                <w:szCs w:val="24"/>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Оригиналите на документите се съхраняват от кандидата/бенефициента и се представят при поискване.</w:t>
            </w:r>
          </w:p>
          <w:p w14:paraId="44E39DFE" w14:textId="77777777" w:rsidR="007400B6" w:rsidRDefault="007400B6" w:rsidP="007400B6">
            <w:pPr>
              <w:jc w:val="both"/>
              <w:rPr>
                <w:sz w:val="24"/>
                <w:szCs w:val="24"/>
                <w:shd w:val="clear" w:color="auto" w:fill="FEFEFE"/>
              </w:rPr>
            </w:pPr>
          </w:p>
          <w:p w14:paraId="06D905A0" w14:textId="6B3103E5" w:rsidR="007400B6" w:rsidRPr="007400B6" w:rsidRDefault="007400B6" w:rsidP="007400B6">
            <w:pPr>
              <w:jc w:val="both"/>
              <w:rPr>
                <w:sz w:val="24"/>
                <w:szCs w:val="24"/>
                <w:shd w:val="clear" w:color="auto" w:fill="FEFEFE"/>
              </w:rPr>
            </w:pPr>
            <w:r w:rsidRPr="007400B6">
              <w:rPr>
                <w:sz w:val="24"/>
                <w:szCs w:val="24"/>
                <w:shd w:val="clear" w:color="auto" w:fill="FEFEFE"/>
              </w:rPr>
              <w:t>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7400B6">
              <w:rPr>
                <w:sz w:val="24"/>
                <w:szCs w:val="24"/>
              </w:rPr>
              <w:t xml:space="preserve"> с </w:t>
            </w:r>
            <w:r w:rsidRPr="007400B6">
              <w:rPr>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0C2C22EC" w14:textId="77777777" w:rsidR="007400B6" w:rsidRPr="008E1F5A" w:rsidRDefault="007400B6" w:rsidP="008E1F5A">
            <w:pPr>
              <w:jc w:val="both"/>
              <w:rPr>
                <w:sz w:val="24"/>
                <w:szCs w:val="24"/>
              </w:rPr>
            </w:pPr>
          </w:p>
          <w:p w14:paraId="4B89A7D7" w14:textId="77777777" w:rsidR="0006081F" w:rsidRDefault="0006081F" w:rsidP="008E1F5A">
            <w:pPr>
              <w:jc w:val="both"/>
              <w:rPr>
                <w:sz w:val="24"/>
                <w:szCs w:val="24"/>
              </w:rPr>
            </w:pPr>
            <w:r w:rsidRPr="008E1F5A">
              <w:rPr>
                <w:sz w:val="24"/>
                <w:szCs w:val="24"/>
              </w:rPr>
              <w:t xml:space="preserve">Подготовката, подаването и регистрирането на проектното предложение в ИСУН 2020 се извършва по следния начин: </w:t>
            </w:r>
          </w:p>
          <w:p w14:paraId="3380FC95" w14:textId="77777777" w:rsidR="00254ADE" w:rsidRPr="008E1F5A" w:rsidRDefault="00254ADE" w:rsidP="008E1F5A">
            <w:pPr>
              <w:jc w:val="both"/>
              <w:rPr>
                <w:sz w:val="24"/>
                <w:szCs w:val="24"/>
              </w:rPr>
            </w:pPr>
          </w:p>
          <w:p w14:paraId="7AF8C46F" w14:textId="77777777" w:rsidR="0006081F" w:rsidRPr="008E1F5A" w:rsidRDefault="0006081F" w:rsidP="008E1F5A">
            <w:pPr>
              <w:jc w:val="both"/>
              <w:rPr>
                <w:sz w:val="24"/>
                <w:szCs w:val="24"/>
              </w:rPr>
            </w:pPr>
            <w:r w:rsidRPr="008E1F5A">
              <w:rPr>
                <w:sz w:val="24"/>
                <w:szCs w:val="24"/>
              </w:rPr>
              <w:t xml:space="preserve">Кандидатът влиза в ИСУН 2020 през модула за електронни услуги на адрес: </w:t>
            </w:r>
            <w:hyperlink r:id="rId25" w:history="1">
              <w:r w:rsidRPr="008E1F5A">
                <w:rPr>
                  <w:rStyle w:val="Hyperlink"/>
                  <w:sz w:val="24"/>
                  <w:szCs w:val="24"/>
                </w:rPr>
                <w:t>https://eumis2020.government.bg/</w:t>
              </w:r>
            </w:hyperlink>
          </w:p>
          <w:p w14:paraId="3494D4A8" w14:textId="77777777" w:rsidR="00DD0493" w:rsidRDefault="0006081F" w:rsidP="008E1F5A">
            <w:pPr>
              <w:jc w:val="both"/>
              <w:rPr>
                <w:sz w:val="24"/>
                <w:szCs w:val="24"/>
              </w:rPr>
            </w:pPr>
            <w:r w:rsidRPr="008E1F5A">
              <w:rPr>
                <w:sz w:val="24"/>
                <w:szCs w:val="24"/>
              </w:rPr>
              <w:t>Кандидатът се регистрира в системата като нов потребител (ако е приложимо), след което има достъп до нея чрез потребителско име (електронна поща) и парола.</w:t>
            </w:r>
          </w:p>
          <w:p w14:paraId="2A11C0DF" w14:textId="77777777" w:rsidR="00254ADE" w:rsidRPr="008E1F5A" w:rsidRDefault="00254ADE" w:rsidP="008E1F5A">
            <w:pPr>
              <w:jc w:val="both"/>
              <w:rPr>
                <w:sz w:val="24"/>
                <w:szCs w:val="24"/>
              </w:rPr>
            </w:pPr>
          </w:p>
          <w:p w14:paraId="16165B84" w14:textId="77777777" w:rsidR="00254ADE" w:rsidRPr="008E1F5A" w:rsidRDefault="00254ADE" w:rsidP="00254ADE">
            <w:pPr>
              <w:jc w:val="both"/>
              <w:rPr>
                <w:sz w:val="24"/>
                <w:szCs w:val="24"/>
              </w:rPr>
            </w:pPr>
            <w:r w:rsidRPr="008E1F5A">
              <w:rPr>
                <w:sz w:val="24"/>
                <w:szCs w:val="24"/>
              </w:rPr>
              <w:t xml:space="preserve">ВАЖНО! </w:t>
            </w:r>
          </w:p>
          <w:p w14:paraId="062101EF" w14:textId="72C18149" w:rsidR="00254ADE" w:rsidRDefault="00254ADE" w:rsidP="00254ADE">
            <w:pPr>
              <w:jc w:val="both"/>
              <w:rPr>
                <w:sz w:val="24"/>
                <w:szCs w:val="24"/>
              </w:rPr>
            </w:pPr>
            <w:r w:rsidRPr="008E1F5A">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0489BF6A" w14:textId="77777777" w:rsidR="00254ADE" w:rsidRDefault="00254ADE" w:rsidP="00254ADE">
            <w:pPr>
              <w:jc w:val="both"/>
              <w:rPr>
                <w:sz w:val="24"/>
                <w:szCs w:val="24"/>
              </w:rPr>
            </w:pPr>
          </w:p>
          <w:p w14:paraId="0D6B5C2C" w14:textId="64BD3ED1" w:rsidR="0006081F" w:rsidRPr="008E1F5A" w:rsidRDefault="0006081F" w:rsidP="008E1F5A">
            <w:pPr>
              <w:jc w:val="both"/>
              <w:rPr>
                <w:sz w:val="24"/>
                <w:szCs w:val="24"/>
              </w:rPr>
            </w:pPr>
            <w:r w:rsidRPr="008E1F5A">
              <w:rPr>
                <w:sz w:val="24"/>
                <w:szCs w:val="24"/>
              </w:rPr>
              <w:t>Кандидатът</w:t>
            </w:r>
            <w:r w:rsidRPr="008E1F5A" w:rsidDel="00FD122A">
              <w:rPr>
                <w:sz w:val="24"/>
                <w:szCs w:val="24"/>
              </w:rPr>
              <w:t xml:space="preserve"> </w:t>
            </w:r>
            <w:r w:rsidRPr="008E1F5A">
              <w:rPr>
                <w:sz w:val="24"/>
                <w:szCs w:val="24"/>
              </w:rPr>
              <w:t>избира процедура BG0</w:t>
            </w:r>
            <w:r w:rsidR="00331FD5" w:rsidRPr="008E1F5A">
              <w:rPr>
                <w:sz w:val="24"/>
                <w:szCs w:val="24"/>
              </w:rPr>
              <w:t>6RDNP001</w:t>
            </w:r>
            <w:r w:rsidRPr="008E1F5A">
              <w:rPr>
                <w:sz w:val="24"/>
                <w:szCs w:val="24"/>
              </w:rPr>
              <w:t>-</w:t>
            </w:r>
            <w:r w:rsidR="008916EB" w:rsidRPr="008E1F5A">
              <w:rPr>
                <w:sz w:val="24"/>
                <w:szCs w:val="24"/>
              </w:rPr>
              <w:t>19.</w:t>
            </w:r>
            <w:r w:rsidR="008A201B" w:rsidRPr="008E1F5A">
              <w:rPr>
                <w:sz w:val="24"/>
                <w:szCs w:val="24"/>
              </w:rPr>
              <w:t xml:space="preserve">002 </w:t>
            </w:r>
            <w:r w:rsidR="008916EB" w:rsidRPr="008E1F5A">
              <w:rPr>
                <w:sz w:val="24"/>
                <w:szCs w:val="24"/>
              </w:rPr>
              <w:t>МИГ_Поморие_10_1_</w:t>
            </w:r>
            <w:r w:rsidR="00B631E9" w:rsidRPr="008E1F5A">
              <w:rPr>
                <w:sz w:val="24"/>
                <w:szCs w:val="24"/>
              </w:rPr>
              <w:t xml:space="preserve">7.2. </w:t>
            </w:r>
            <w:r w:rsidR="008916EB" w:rsidRPr="008E1F5A">
              <w:rPr>
                <w:sz w:val="24"/>
                <w:szCs w:val="24"/>
              </w:rPr>
              <w:t xml:space="preserve">М4_ </w:t>
            </w:r>
            <w:r w:rsidRPr="008E1F5A">
              <w:rPr>
                <w:sz w:val="24"/>
                <w:szCs w:val="24"/>
              </w:rPr>
              <w:t>„</w:t>
            </w:r>
            <w:r w:rsidR="00331FD5" w:rsidRPr="008E1F5A">
              <w:rPr>
                <w:sz w:val="24"/>
                <w:szCs w:val="24"/>
              </w:rPr>
              <w:t>Инвестиции в създаването, подобряването или разширяването на всички видове малка по мащаби инфраструктура</w:t>
            </w:r>
            <w:r w:rsidRPr="008E1F5A">
              <w:rPr>
                <w:sz w:val="24"/>
                <w:szCs w:val="24"/>
              </w:rPr>
              <w:t>” от наличните отворени за кандидатстване процедури.</w:t>
            </w:r>
          </w:p>
          <w:p w14:paraId="6ABBB9EE" w14:textId="77777777" w:rsidR="009A58DB" w:rsidRDefault="009A58DB" w:rsidP="008E1F5A">
            <w:pPr>
              <w:jc w:val="both"/>
              <w:rPr>
                <w:sz w:val="24"/>
                <w:szCs w:val="24"/>
              </w:rPr>
            </w:pPr>
            <w:r w:rsidRPr="008E1F5A">
              <w:rPr>
                <w:sz w:val="24"/>
                <w:szCs w:val="24"/>
              </w:rPr>
              <w:t>Кандидатът изтегля ново проектно предложение за кандидатстване по съответната процедура.</w:t>
            </w:r>
          </w:p>
          <w:p w14:paraId="3B53D5E9" w14:textId="77777777" w:rsidR="00254ADE" w:rsidRPr="008E1F5A" w:rsidRDefault="00254ADE" w:rsidP="008E1F5A">
            <w:pPr>
              <w:jc w:val="both"/>
              <w:rPr>
                <w:sz w:val="24"/>
                <w:szCs w:val="24"/>
              </w:rPr>
            </w:pPr>
          </w:p>
          <w:p w14:paraId="3ED8D746" w14:textId="77777777" w:rsidR="009A58DB" w:rsidRPr="008E1F5A" w:rsidRDefault="009A58DB" w:rsidP="008E1F5A">
            <w:pPr>
              <w:jc w:val="both"/>
              <w:rPr>
                <w:sz w:val="24"/>
                <w:szCs w:val="24"/>
              </w:rPr>
            </w:pPr>
            <w:r w:rsidRPr="008E1F5A">
              <w:rPr>
                <w:sz w:val="24"/>
                <w:szCs w:val="24"/>
              </w:rPr>
              <w:t>Кандидатът попълва формуляра з</w:t>
            </w:r>
            <w:r w:rsidR="00161DFF" w:rsidRPr="008E1F5A">
              <w:rPr>
                <w:sz w:val="24"/>
                <w:szCs w:val="24"/>
              </w:rPr>
              <w:t xml:space="preserve">а кандидатстване по процедурата следвайки указанията за работа със системата на адрес: </w:t>
            </w:r>
            <w:hyperlink r:id="rId26" w:history="1">
              <w:r w:rsidR="00161DFF" w:rsidRPr="008E1F5A">
                <w:rPr>
                  <w:rStyle w:val="Hyperlink"/>
                  <w:sz w:val="24"/>
                  <w:szCs w:val="24"/>
                </w:rPr>
                <w:t>https://eumis2020.government.bg/bg/s/Home/Manual</w:t>
              </w:r>
            </w:hyperlink>
            <w:r w:rsidR="00E623C3" w:rsidRPr="008E1F5A">
              <w:rPr>
                <w:sz w:val="24"/>
                <w:szCs w:val="24"/>
              </w:rPr>
              <w:t xml:space="preserve">. </w:t>
            </w:r>
            <w:r w:rsidRPr="008E1F5A">
              <w:rPr>
                <w:sz w:val="24"/>
                <w:szCs w:val="24"/>
              </w:rPr>
              <w:t>Системата предоставя възможност за коригиране, запазване и допълване на формуляра докато той е в работен режим (чернова). Всеки формул</w:t>
            </w:r>
            <w:r w:rsidR="000B2CAC" w:rsidRPr="008E1F5A">
              <w:rPr>
                <w:sz w:val="24"/>
                <w:szCs w:val="24"/>
              </w:rPr>
              <w:t>яр може да бъде записан локално</w:t>
            </w:r>
            <w:r w:rsidRPr="008E1F5A">
              <w:rPr>
                <w:sz w:val="24"/>
                <w:szCs w:val="24"/>
              </w:rPr>
              <w:t xml:space="preserve">, на файл в специален формат, който може да се отваря единствено от ИСУН 2020. Системата позволява зареждането на локално записан файл на формуляр за кандидатстване </w:t>
            </w:r>
            <w:r w:rsidRPr="008E1F5A">
              <w:rPr>
                <w:sz w:val="24"/>
                <w:szCs w:val="24"/>
              </w:rPr>
              <w:lastRenderedPageBreak/>
              <w:t>и редакция по него, от друг потребител, който е регистриран в системата, когато това е необходимо.</w:t>
            </w:r>
          </w:p>
          <w:p w14:paraId="1FC75CEB" w14:textId="67B6EE2C" w:rsidR="009A58DB" w:rsidRPr="008E1F5A" w:rsidRDefault="009A58DB" w:rsidP="008E1F5A">
            <w:pPr>
              <w:jc w:val="both"/>
              <w:rPr>
                <w:sz w:val="24"/>
                <w:szCs w:val="24"/>
              </w:rPr>
            </w:pPr>
            <w:r w:rsidRPr="008E1F5A">
              <w:rPr>
                <w:sz w:val="24"/>
                <w:szCs w:val="24"/>
              </w:rPr>
              <w:t xml:space="preserve">Кандидатът прикачва към формуляра за кандидатстване допълнително изискуемите </w:t>
            </w:r>
            <w:r w:rsidR="00E91A81" w:rsidRPr="008E1F5A">
              <w:rPr>
                <w:sz w:val="24"/>
                <w:szCs w:val="24"/>
              </w:rPr>
              <w:t>документи (посоче</w:t>
            </w:r>
            <w:r w:rsidR="00FE6D95" w:rsidRPr="008E1F5A">
              <w:rPr>
                <w:sz w:val="24"/>
                <w:szCs w:val="24"/>
              </w:rPr>
              <w:t xml:space="preserve">ни в т. </w:t>
            </w:r>
            <w:r w:rsidR="00D42534">
              <w:rPr>
                <w:sz w:val="24"/>
                <w:szCs w:val="24"/>
              </w:rPr>
              <w:t xml:space="preserve">24 </w:t>
            </w:r>
            <w:r w:rsidRPr="008E1F5A">
              <w:rPr>
                <w:sz w:val="24"/>
                <w:szCs w:val="24"/>
              </w:rPr>
              <w:t>от Условията) в специално обособена секция.</w:t>
            </w:r>
          </w:p>
          <w:p w14:paraId="3E445799" w14:textId="77777777" w:rsidR="009A58DB" w:rsidRPr="008E1F5A" w:rsidRDefault="009A58DB" w:rsidP="008E1F5A">
            <w:pPr>
              <w:jc w:val="both"/>
              <w:rPr>
                <w:sz w:val="24"/>
                <w:szCs w:val="24"/>
              </w:rPr>
            </w:pPr>
            <w:r w:rsidRPr="008E1F5A">
              <w:rPr>
                <w:sz w:val="24"/>
                <w:szCs w:val="24"/>
              </w:rPr>
              <w:t>Кандидатът указва в системата, че финализира формуляра за кандидатстване. Преди да финализира формуляра за кандидатстване, кандидатът може да го провери за грешки чрез бутон „Провери формуляра за грешки“ от менюто в долния край на екрана.</w:t>
            </w:r>
          </w:p>
          <w:p w14:paraId="5EE15336" w14:textId="77777777" w:rsidR="009A58DB" w:rsidRPr="008E1F5A" w:rsidRDefault="009A58DB" w:rsidP="008E1F5A">
            <w:pPr>
              <w:jc w:val="both"/>
              <w:rPr>
                <w:sz w:val="24"/>
                <w:szCs w:val="24"/>
              </w:rPr>
            </w:pPr>
            <w:r w:rsidRPr="008E1F5A">
              <w:rPr>
                <w:sz w:val="24"/>
                <w:szCs w:val="24"/>
              </w:rPr>
              <w:t>Системата позволява запис на създадения формуляр за кандидатстване на работния компютър на кандидата, подписването му от един или повече представители на кандидата с КЕП и прикачване на генерираните файлове.</w:t>
            </w:r>
          </w:p>
          <w:p w14:paraId="0542152A" w14:textId="77777777" w:rsidR="009A58DB" w:rsidRPr="008E1F5A" w:rsidRDefault="009A58DB" w:rsidP="008E1F5A">
            <w:pPr>
              <w:jc w:val="both"/>
              <w:rPr>
                <w:sz w:val="24"/>
                <w:szCs w:val="24"/>
              </w:rPr>
            </w:pPr>
            <w:r w:rsidRPr="008E1F5A">
              <w:rPr>
                <w:sz w:val="24"/>
                <w:szCs w:val="24"/>
              </w:rPr>
              <w:t>При коректно извършване на описаните действия кандидатът изпраща формуляра за кандидатстване и документите към него чрез системата.</w:t>
            </w:r>
          </w:p>
          <w:p w14:paraId="533297DE" w14:textId="77777777" w:rsidR="009A58DB" w:rsidRPr="008E1F5A" w:rsidRDefault="009A58DB" w:rsidP="008E1F5A">
            <w:pPr>
              <w:jc w:val="both"/>
              <w:rPr>
                <w:sz w:val="24"/>
                <w:szCs w:val="24"/>
              </w:rPr>
            </w:pPr>
            <w:r w:rsidRPr="008E1F5A">
              <w:rPr>
                <w:sz w:val="24"/>
                <w:szCs w:val="24"/>
              </w:rPr>
              <w:t>Системата регистрира подаденото проектно предложение и генерира регистрационен номер.</w:t>
            </w:r>
          </w:p>
          <w:p w14:paraId="56F8EE8C" w14:textId="77777777" w:rsidR="009A58DB" w:rsidRPr="008E1F5A" w:rsidRDefault="009A58DB" w:rsidP="008E1F5A">
            <w:pPr>
              <w:jc w:val="both"/>
              <w:rPr>
                <w:sz w:val="24"/>
                <w:szCs w:val="24"/>
              </w:rPr>
            </w:pPr>
            <w:r w:rsidRPr="008E1F5A">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6E454F7" w14:textId="77777777" w:rsidR="009A58DB" w:rsidRPr="008E1F5A" w:rsidRDefault="009A58DB" w:rsidP="008E1F5A">
            <w:pPr>
              <w:jc w:val="both"/>
              <w:rPr>
                <w:sz w:val="24"/>
                <w:szCs w:val="24"/>
              </w:rPr>
            </w:pPr>
            <w:r w:rsidRPr="008E1F5A">
              <w:rPr>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CA7555" w:rsidRPr="008E1F5A">
              <w:rPr>
                <w:sz w:val="24"/>
                <w:szCs w:val="24"/>
              </w:rPr>
              <w:t>до МИГ</w:t>
            </w:r>
            <w:r w:rsidRPr="008E1F5A">
              <w:rPr>
                <w:sz w:val="24"/>
                <w:szCs w:val="24"/>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209C54FC" w14:textId="77777777" w:rsidR="009A58DB" w:rsidRPr="008E1F5A" w:rsidRDefault="009A58DB" w:rsidP="008E1F5A">
            <w:pPr>
              <w:jc w:val="both"/>
              <w:rPr>
                <w:sz w:val="24"/>
                <w:szCs w:val="24"/>
              </w:rPr>
            </w:pPr>
            <w:r w:rsidRPr="008E1F5A">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28750570" w14:textId="77777777" w:rsidR="009A58DB" w:rsidRPr="008E1F5A" w:rsidRDefault="009A58DB" w:rsidP="008E1F5A">
            <w:pPr>
              <w:jc w:val="both"/>
              <w:rPr>
                <w:sz w:val="24"/>
                <w:szCs w:val="24"/>
              </w:rPr>
            </w:pPr>
            <w:r w:rsidRPr="008E1F5A">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689B81F3" w14:textId="77777777" w:rsidR="00093CB8" w:rsidRDefault="009A58DB" w:rsidP="008E1F5A">
            <w:pPr>
              <w:jc w:val="both"/>
              <w:rPr>
                <w:sz w:val="24"/>
                <w:szCs w:val="24"/>
              </w:rPr>
            </w:pPr>
            <w:r w:rsidRPr="008E1F5A">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p w14:paraId="2C5E74E0" w14:textId="1A6D91B1" w:rsidR="00A038EE" w:rsidRPr="007713C1" w:rsidRDefault="00A038EE" w:rsidP="00A038EE">
            <w:pPr>
              <w:jc w:val="both"/>
              <w:rPr>
                <w:b/>
              </w:rPr>
            </w:pPr>
          </w:p>
        </w:tc>
      </w:tr>
    </w:tbl>
    <w:p w14:paraId="13099AD5" w14:textId="77777777" w:rsidR="008C3A8E" w:rsidRPr="0085404A" w:rsidRDefault="008C3A8E" w:rsidP="0085404A">
      <w:bookmarkStart w:id="73" w:name="_Toc445385616"/>
    </w:p>
    <w:p w14:paraId="7CF45EE6" w14:textId="6FDBEBF1" w:rsidR="007F710B" w:rsidRDefault="00B85DDC" w:rsidP="003A2D4B">
      <w:pPr>
        <w:pStyle w:val="Heading1"/>
      </w:pPr>
      <w:bookmarkStart w:id="74" w:name="_Toc534292229"/>
      <w:r>
        <w:t>2</w:t>
      </w:r>
      <w:r w:rsidR="00BE42E8">
        <w:t>4</w:t>
      </w:r>
      <w:r w:rsidR="007F710B" w:rsidRPr="007713C1">
        <w:t>. Списък на документите, които се</w:t>
      </w:r>
      <w:r w:rsidR="00ED52D4" w:rsidRPr="007713C1">
        <w:t xml:space="preserve"> подават на етап кандидатстване</w:t>
      </w:r>
      <w:r w:rsidR="007F710B" w:rsidRPr="007713C1">
        <w:t>:</w:t>
      </w:r>
      <w:bookmarkEnd w:id="73"/>
      <w:bookmarkEnd w:id="74"/>
    </w:p>
    <w:p w14:paraId="5690CE2C" w14:textId="6628C48A" w:rsidR="00F22995" w:rsidRPr="00F22995" w:rsidRDefault="0017509D" w:rsidP="00F2299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lastRenderedPageBreak/>
        <w:t>Когато документът не е приложим, кандидатът прикачва декларация по образец на Държавен фонд „Земеделие“</w:t>
      </w:r>
      <w:r w:rsidR="000A6535">
        <w:rPr>
          <w:rFonts w:ascii="Times New Roman" w:hAnsi="Times New Roman" w:cs="Times New Roman"/>
          <w:sz w:val="24"/>
          <w:szCs w:val="24"/>
        </w:rPr>
        <w:t xml:space="preserve"> (Приложение № 6</w:t>
      </w:r>
      <w:r w:rsidR="003D4307">
        <w:rPr>
          <w:rFonts w:ascii="Times New Roman" w:hAnsi="Times New Roman" w:cs="Times New Roman"/>
          <w:sz w:val="24"/>
          <w:szCs w:val="24"/>
        </w:rPr>
        <w:t>)</w:t>
      </w:r>
      <w:r>
        <w:rPr>
          <w:rFonts w:ascii="Times New Roman" w:hAnsi="Times New Roman" w:cs="Times New Roman"/>
          <w:sz w:val="24"/>
          <w:szCs w:val="24"/>
        </w:rPr>
        <w:t xml:space="preserve">, удостоверяваща това обстоятелство – във формат </w:t>
      </w:r>
      <w:r>
        <w:rPr>
          <w:rFonts w:ascii="Times New Roman" w:hAnsi="Times New Roman" w:cs="Times New Roman"/>
          <w:sz w:val="24"/>
          <w:szCs w:val="24"/>
          <w:lang w:val="en-US"/>
        </w:rPr>
        <w:t xml:space="preserve">“.pdf” </w:t>
      </w:r>
      <w:r>
        <w:rPr>
          <w:rFonts w:ascii="Times New Roman" w:hAnsi="Times New Roman" w:cs="Times New Roman"/>
          <w:sz w:val="24"/>
          <w:szCs w:val="24"/>
        </w:rPr>
        <w:t>или „</w:t>
      </w:r>
      <w:r>
        <w:rPr>
          <w:rFonts w:ascii="Times New Roman" w:hAnsi="Times New Roman" w:cs="Times New Roman"/>
          <w:sz w:val="24"/>
          <w:szCs w:val="24"/>
          <w:lang w:val="en-US"/>
        </w:rPr>
        <w:t>.jpg</w:t>
      </w:r>
      <w:r>
        <w:rPr>
          <w:rFonts w:ascii="Times New Roman" w:hAnsi="Times New Roman" w:cs="Times New Roman"/>
          <w:sz w:val="24"/>
          <w:szCs w:val="24"/>
        </w:rPr>
        <w:t>“.</w:t>
      </w:r>
    </w:p>
    <w:p w14:paraId="7EC638FD" w14:textId="528C6EDC" w:rsidR="00A251C2" w:rsidRPr="0087183F" w:rsidRDefault="00F22995" w:rsidP="008718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22995">
        <w:rPr>
          <w:rFonts w:ascii="Times New Roman" w:hAnsi="Times New Roman" w:cs="Times New Roman"/>
          <w:sz w:val="24"/>
          <w:szCs w:val="24"/>
        </w:rPr>
        <w:t xml:space="preserve">В случай, че някой от приложимите документи, които се подават на етап кандидатстване, не е представен, същия се изисква от кандидата като пояснителна информация. </w:t>
      </w:r>
      <w:r w:rsidR="007277FB" w:rsidRPr="007277FB">
        <w:rPr>
          <w:rFonts w:ascii="Times New Roman" w:hAnsi="Times New Roman" w:cs="Times New Roman"/>
          <w:sz w:val="24"/>
          <w:szCs w:val="24"/>
        </w:rPr>
        <w:t xml:space="preserve">Когато се изисква документ, който се издава от други държавни и/или общински органи или институции, кандидатът представя към датата на кандидатстване писмено доказателство с входящ номер, с което е заявено искането към държавен и/или общински орган или институция за издаване на документа, ведно с придружаващите го документи. </w:t>
      </w:r>
      <w:r w:rsidRPr="00F22995">
        <w:rPr>
          <w:rFonts w:ascii="Times New Roman" w:hAnsi="Times New Roman" w:cs="Times New Roman"/>
          <w:sz w:val="24"/>
          <w:szCs w:val="24"/>
        </w:rPr>
        <w:t xml:space="preserve"> Документът следва да се представи в срока, определен от оценителната комисия. Непредставянето на документа след искането му от Оценителната комисия е основание за отхвърляне на проектното предложение.</w:t>
      </w:r>
    </w:p>
    <w:p w14:paraId="41080545" w14:textId="508ED906" w:rsidR="005F2C11" w:rsidRPr="007A2ECD" w:rsidRDefault="005F2C11" w:rsidP="007A2ECD">
      <w:pPr>
        <w:pStyle w:val="Heading2"/>
      </w:pPr>
      <w:bookmarkStart w:id="75" w:name="_Toc534292230"/>
      <w:r w:rsidRPr="007A2ECD">
        <w:t xml:space="preserve">24.1. Списък с </w:t>
      </w:r>
      <w:r w:rsidR="007A2ECD">
        <w:t>общи документи</w:t>
      </w:r>
      <w:bookmarkEnd w:id="75"/>
    </w:p>
    <w:tbl>
      <w:tblPr>
        <w:tblStyle w:val="TableGrid"/>
        <w:tblW w:w="0" w:type="auto"/>
        <w:tblInd w:w="-147" w:type="dxa"/>
        <w:tblLook w:val="04A0" w:firstRow="1" w:lastRow="0" w:firstColumn="1" w:lastColumn="0" w:noHBand="0" w:noVBand="1"/>
      </w:tblPr>
      <w:tblGrid>
        <w:gridCol w:w="9493"/>
      </w:tblGrid>
      <w:tr w:rsidR="0006081F" w:rsidRPr="007713C1" w14:paraId="7863C227" w14:textId="77777777" w:rsidTr="00935628">
        <w:trPr>
          <w:trHeight w:val="1089"/>
        </w:trPr>
        <w:tc>
          <w:tcPr>
            <w:tcW w:w="9493" w:type="dxa"/>
          </w:tcPr>
          <w:p w14:paraId="1614A28F" w14:textId="7B5EB33F" w:rsidR="00611AE6" w:rsidRPr="00E41080" w:rsidRDefault="00F44AFC" w:rsidP="00611AE6">
            <w:pPr>
              <w:jc w:val="both"/>
              <w:rPr>
                <w:sz w:val="24"/>
                <w:szCs w:val="24"/>
              </w:rPr>
            </w:pPr>
            <w:r>
              <w:rPr>
                <w:sz w:val="24"/>
                <w:szCs w:val="24"/>
              </w:rPr>
              <w:t>1</w:t>
            </w:r>
            <w:r w:rsidR="006329A5">
              <w:rPr>
                <w:sz w:val="24"/>
                <w:szCs w:val="24"/>
              </w:rPr>
              <w:t>.</w:t>
            </w:r>
            <w:r w:rsidR="00611AE6" w:rsidRPr="00E41080">
              <w:rPr>
                <w:sz w:val="24"/>
                <w:szCs w:val="24"/>
              </w:rPr>
              <w:t>Таблица за допустими инвестиции във формат „pdf”, подписан и сканиран от кандидата, както и във формат „</w:t>
            </w:r>
            <w:r w:rsidR="00FB4DE8" w:rsidRPr="00E41080">
              <w:rPr>
                <w:sz w:val="24"/>
                <w:szCs w:val="24"/>
              </w:rPr>
              <w:t>xls“, „xlsx“;</w:t>
            </w:r>
          </w:p>
          <w:p w14:paraId="30AD119B" w14:textId="37010580" w:rsidR="00611AE6" w:rsidRPr="00E41080" w:rsidRDefault="00F44AFC" w:rsidP="00611AE6">
            <w:pPr>
              <w:jc w:val="both"/>
              <w:rPr>
                <w:sz w:val="24"/>
                <w:szCs w:val="24"/>
              </w:rPr>
            </w:pPr>
            <w:r>
              <w:rPr>
                <w:sz w:val="24"/>
                <w:szCs w:val="24"/>
              </w:rPr>
              <w:t>2</w:t>
            </w:r>
            <w:r w:rsidR="00611AE6" w:rsidRPr="00E41080">
              <w:rPr>
                <w:sz w:val="24"/>
                <w:szCs w:val="24"/>
              </w:rPr>
              <w:t>. Декларация по чл. 19 и 20 от Закона за защита на личните данни с подпис/и, печат и сканира</w:t>
            </w:r>
            <w:r w:rsidR="00FB4DE8" w:rsidRPr="00E41080">
              <w:rPr>
                <w:sz w:val="24"/>
                <w:szCs w:val="24"/>
              </w:rPr>
              <w:t>на във формат „pdf“ или „jpg“;</w:t>
            </w:r>
          </w:p>
          <w:p w14:paraId="39CD6947" w14:textId="4906359D" w:rsidR="002B60BF" w:rsidRPr="00D05BFE" w:rsidRDefault="00F44AFC" w:rsidP="00594611">
            <w:pPr>
              <w:jc w:val="both"/>
              <w:rPr>
                <w:sz w:val="24"/>
                <w:szCs w:val="24"/>
              </w:rPr>
            </w:pPr>
            <w:r>
              <w:rPr>
                <w:sz w:val="24"/>
                <w:szCs w:val="24"/>
              </w:rPr>
              <w:t>3</w:t>
            </w:r>
            <w:r w:rsidR="00611AE6" w:rsidRPr="00E41080">
              <w:rPr>
                <w:sz w:val="24"/>
                <w:szCs w:val="24"/>
              </w:rPr>
              <w:t>. Декларация за нередности с подпис/и, печат и сканирана във формат „pdf“ или „jp</w:t>
            </w:r>
            <w:r w:rsidR="00FB4DE8" w:rsidRPr="00E41080">
              <w:rPr>
                <w:sz w:val="24"/>
                <w:szCs w:val="24"/>
              </w:rPr>
              <w:t xml:space="preserve">g“; </w:t>
            </w:r>
          </w:p>
          <w:p w14:paraId="7F3CA75B" w14:textId="560A2480" w:rsidR="002B60BF" w:rsidRDefault="00D05BFE" w:rsidP="00594611">
            <w:pPr>
              <w:jc w:val="both"/>
              <w:rPr>
                <w:sz w:val="24"/>
                <w:szCs w:val="24"/>
              </w:rPr>
            </w:pPr>
            <w:r>
              <w:rPr>
                <w:sz w:val="24"/>
                <w:szCs w:val="24"/>
              </w:rPr>
              <w:t>4</w:t>
            </w:r>
            <w:r w:rsidR="0089382C">
              <w:rPr>
                <w:sz w:val="24"/>
                <w:szCs w:val="24"/>
              </w:rPr>
              <w:t xml:space="preserve">. </w:t>
            </w:r>
            <w:r w:rsidR="002B60BF" w:rsidRPr="002B60BF">
              <w:rPr>
                <w:sz w:val="24"/>
                <w:szCs w:val="24"/>
              </w:rPr>
              <w:t>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водовземане, водоснабдяване</w:t>
            </w:r>
            <w:r w:rsidR="00F07C46">
              <w:rPr>
                <w:sz w:val="24"/>
                <w:szCs w:val="24"/>
              </w:rPr>
              <w:t xml:space="preserve"> (ако е приложимо)</w:t>
            </w:r>
            <w:r w:rsidR="002B60BF" w:rsidRPr="002B60BF">
              <w:rPr>
                <w:sz w:val="24"/>
                <w:szCs w:val="24"/>
              </w:rPr>
              <w:t xml:space="preserve">; </w:t>
            </w:r>
          </w:p>
          <w:p w14:paraId="7D5192E2" w14:textId="1E15202B" w:rsidR="00594611" w:rsidRPr="00E41080" w:rsidRDefault="00D05BFE" w:rsidP="00594611">
            <w:pPr>
              <w:jc w:val="both"/>
              <w:rPr>
                <w:sz w:val="24"/>
                <w:szCs w:val="24"/>
              </w:rPr>
            </w:pPr>
            <w:r>
              <w:rPr>
                <w:sz w:val="24"/>
                <w:szCs w:val="24"/>
              </w:rPr>
              <w:t>5</w:t>
            </w:r>
            <w:r w:rsidR="0089382C">
              <w:rPr>
                <w:sz w:val="24"/>
                <w:szCs w:val="24"/>
              </w:rPr>
              <w:t xml:space="preserve">. </w:t>
            </w:r>
            <w:r w:rsidR="002B60BF" w:rsidRPr="002B60BF">
              <w:rPr>
                <w:sz w:val="24"/>
                <w:szCs w:val="24"/>
              </w:rPr>
              <w:t>Разрешително за водовземане и/или разрешително за ползване на воден обект в случаите</w:t>
            </w:r>
            <w:r w:rsidR="002B60BF" w:rsidRPr="00E41080">
              <w:rPr>
                <w:sz w:val="24"/>
                <w:szCs w:val="24"/>
              </w:rPr>
              <w:t xml:space="preserve">, предвидени в Закона за водите (когато е приложимо); </w:t>
            </w:r>
          </w:p>
          <w:p w14:paraId="02577C5D" w14:textId="602EFC73" w:rsidR="00594611" w:rsidRPr="00E41080" w:rsidRDefault="00D05BFE" w:rsidP="00594611">
            <w:pPr>
              <w:jc w:val="both"/>
              <w:rPr>
                <w:sz w:val="24"/>
                <w:szCs w:val="24"/>
              </w:rPr>
            </w:pPr>
            <w:r>
              <w:rPr>
                <w:sz w:val="24"/>
                <w:szCs w:val="24"/>
              </w:rPr>
              <w:t>6</w:t>
            </w:r>
            <w:r w:rsidR="00594611" w:rsidRPr="00E41080">
              <w:rPr>
                <w:sz w:val="24"/>
                <w:szCs w:val="24"/>
              </w:rPr>
              <w:t xml:space="preserve">. </w:t>
            </w:r>
            <w:r w:rsidR="00FB4DE8" w:rsidRPr="00E41080">
              <w:rPr>
                <w:sz w:val="24"/>
                <w:szCs w:val="24"/>
              </w:rPr>
              <w:t>Формуляр за мониторинг</w:t>
            </w:r>
            <w:r w:rsidR="006329A5">
              <w:rPr>
                <w:sz w:val="24"/>
                <w:szCs w:val="24"/>
              </w:rPr>
              <w:t>.</w:t>
            </w:r>
            <w:r w:rsidR="006329A5">
              <w:t xml:space="preserve"> </w:t>
            </w:r>
            <w:r w:rsidR="006329A5" w:rsidRPr="006329A5">
              <w:rPr>
                <w:sz w:val="24"/>
                <w:szCs w:val="24"/>
              </w:rPr>
              <w:t>Представя се във формат „pdf“ или „jpg“;</w:t>
            </w:r>
          </w:p>
          <w:p w14:paraId="12649CE3" w14:textId="287B7567" w:rsidR="00594611" w:rsidRPr="00E41080" w:rsidRDefault="00D05BFE" w:rsidP="00594611">
            <w:pPr>
              <w:jc w:val="both"/>
              <w:rPr>
                <w:sz w:val="24"/>
                <w:szCs w:val="24"/>
              </w:rPr>
            </w:pPr>
            <w:r>
              <w:rPr>
                <w:sz w:val="24"/>
                <w:szCs w:val="24"/>
              </w:rPr>
              <w:t>7</w:t>
            </w:r>
            <w:r w:rsidR="00594611" w:rsidRPr="00E41080">
              <w:rPr>
                <w:sz w:val="24"/>
                <w:szCs w:val="24"/>
              </w:rPr>
              <w:t xml:space="preserve">. Нотариално заверено изрично пълномощно – в случай че документите не се подават лично от кандидата, или заповед на кмета за кандидати общини. </w:t>
            </w:r>
            <w:r w:rsidR="00594611" w:rsidRPr="00E41080">
              <w:t xml:space="preserve"> </w:t>
            </w:r>
            <w:r w:rsidR="00594611" w:rsidRPr="00E41080">
              <w:rPr>
                <w:sz w:val="24"/>
                <w:szCs w:val="24"/>
              </w:rPr>
              <w:t>Представ</w:t>
            </w:r>
            <w:r w:rsidR="00FB4DE8" w:rsidRPr="00E41080">
              <w:rPr>
                <w:sz w:val="24"/>
                <w:szCs w:val="24"/>
              </w:rPr>
              <w:t>я се във формат „pdf“ или „jpg“;</w:t>
            </w:r>
          </w:p>
          <w:p w14:paraId="45D1EA51" w14:textId="5FC28050" w:rsidR="00594611" w:rsidRPr="00611AE6" w:rsidRDefault="00D05BFE" w:rsidP="00594611">
            <w:pPr>
              <w:jc w:val="both"/>
              <w:rPr>
                <w:sz w:val="24"/>
                <w:szCs w:val="24"/>
              </w:rPr>
            </w:pPr>
            <w:r>
              <w:rPr>
                <w:sz w:val="24"/>
                <w:szCs w:val="24"/>
              </w:rPr>
              <w:t>8</w:t>
            </w:r>
            <w:r w:rsidR="00594611" w:rsidRPr="00611AE6">
              <w:rPr>
                <w:sz w:val="24"/>
                <w:szCs w:val="24"/>
              </w:rPr>
              <w:t>. Решение на общинския съвет, че дейностите, включени в проектите, съответстват на приоритетите на общинския план за</w:t>
            </w:r>
            <w:r w:rsidR="00594611">
              <w:rPr>
                <w:sz w:val="24"/>
                <w:szCs w:val="24"/>
              </w:rPr>
              <w:t xml:space="preserve"> развитие на съответната община. </w:t>
            </w:r>
            <w:r w:rsidR="00594611" w:rsidRPr="00594611">
              <w:rPr>
                <w:sz w:val="24"/>
                <w:szCs w:val="24"/>
              </w:rPr>
              <w:t>Представ</w:t>
            </w:r>
            <w:r w:rsidR="00FB4DE8">
              <w:rPr>
                <w:sz w:val="24"/>
                <w:szCs w:val="24"/>
              </w:rPr>
              <w:t>я се във формат „pdf“ или „jpg“;</w:t>
            </w:r>
          </w:p>
          <w:p w14:paraId="185827D3" w14:textId="0B449EDD" w:rsidR="00594611" w:rsidRDefault="00D05BFE" w:rsidP="00594611">
            <w:pPr>
              <w:jc w:val="both"/>
              <w:rPr>
                <w:sz w:val="24"/>
                <w:szCs w:val="24"/>
              </w:rPr>
            </w:pPr>
            <w:r>
              <w:rPr>
                <w:sz w:val="24"/>
                <w:szCs w:val="24"/>
              </w:rPr>
              <w:t>9</w:t>
            </w:r>
            <w:r w:rsidR="00594611" w:rsidRPr="00611AE6">
              <w:rPr>
                <w:sz w:val="24"/>
                <w:szCs w:val="24"/>
              </w:rPr>
              <w:t xml:space="preserve">. </w:t>
            </w:r>
            <w:r w:rsidR="002B60BF" w:rsidRPr="002B60B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w:t>
            </w:r>
            <w:r w:rsidR="004E11B2">
              <w:rPr>
                <w:sz w:val="24"/>
                <w:szCs w:val="24"/>
              </w:rPr>
              <w:t>гласно Закона за счетоводството.</w:t>
            </w:r>
            <w:r w:rsidR="002B60BF" w:rsidRPr="002B60BF">
              <w:rPr>
                <w:sz w:val="24"/>
                <w:szCs w:val="24"/>
              </w:rPr>
              <w:t xml:space="preserve"> </w:t>
            </w:r>
            <w:r w:rsidR="00594611" w:rsidRPr="00594611">
              <w:rPr>
                <w:sz w:val="24"/>
                <w:szCs w:val="24"/>
              </w:rPr>
              <w:t xml:space="preserve"> Представ</w:t>
            </w:r>
            <w:r w:rsidR="00594611">
              <w:rPr>
                <w:sz w:val="24"/>
                <w:szCs w:val="24"/>
              </w:rPr>
              <w:t>я се във формат „pdf“ или „jpg“;</w:t>
            </w:r>
          </w:p>
          <w:p w14:paraId="2AB9BD38" w14:textId="29331E58" w:rsidR="00594611" w:rsidRPr="00F84DF8" w:rsidRDefault="00EC49AF" w:rsidP="00594611">
            <w:pPr>
              <w:jc w:val="both"/>
              <w:rPr>
                <w:sz w:val="24"/>
                <w:szCs w:val="24"/>
              </w:rPr>
            </w:pPr>
            <w:r>
              <w:rPr>
                <w:sz w:val="24"/>
                <w:szCs w:val="24"/>
              </w:rPr>
              <w:t>1</w:t>
            </w:r>
            <w:r w:rsidR="00D05BFE">
              <w:rPr>
                <w:sz w:val="24"/>
                <w:szCs w:val="24"/>
              </w:rPr>
              <w:t>0</w:t>
            </w:r>
            <w:r w:rsidR="00594611" w:rsidRPr="00611AE6">
              <w:rPr>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w:t>
            </w:r>
            <w:r w:rsidR="00594611" w:rsidRPr="00611AE6">
              <w:rPr>
                <w:sz w:val="24"/>
                <w:szCs w:val="24"/>
              </w:rPr>
              <w:lastRenderedPageBreak/>
              <w:t>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14:paraId="24ABDE5E" w14:textId="4706837A" w:rsidR="00893069" w:rsidRDefault="00594611" w:rsidP="00594611">
            <w:pPr>
              <w:jc w:val="both"/>
              <w:rPr>
                <w:sz w:val="24"/>
                <w:szCs w:val="24"/>
              </w:rPr>
            </w:pPr>
            <w:r w:rsidRPr="00594611">
              <w:rPr>
                <w:sz w:val="24"/>
                <w:szCs w:val="24"/>
              </w:rPr>
              <w:t>1</w:t>
            </w:r>
            <w:r w:rsidR="00D05BFE">
              <w:rPr>
                <w:sz w:val="24"/>
                <w:szCs w:val="24"/>
              </w:rPr>
              <w:t>1</w:t>
            </w:r>
            <w:r w:rsidRPr="00594611">
              <w:rPr>
                <w:sz w:val="24"/>
                <w:szCs w:val="24"/>
              </w:rPr>
              <w:t xml:space="preserve">. </w:t>
            </w:r>
            <w:r w:rsidR="00235FF1" w:rsidRPr="00235FF1">
              <w:rPr>
                <w:sz w:val="24"/>
                <w:szCs w:val="24"/>
              </w:rPr>
              <w:t>Документ за собственост на земя и/или друг вид недвижим имот,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 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w:t>
            </w:r>
          </w:p>
          <w:p w14:paraId="307D8215" w14:textId="65BD9A7E" w:rsidR="002E167B" w:rsidRPr="00E41080" w:rsidRDefault="00D05BFE" w:rsidP="00E41080">
            <w:pPr>
              <w:jc w:val="both"/>
              <w:rPr>
                <w:sz w:val="24"/>
                <w:szCs w:val="24"/>
              </w:rPr>
            </w:pPr>
            <w:r>
              <w:rPr>
                <w:sz w:val="24"/>
                <w:szCs w:val="24"/>
              </w:rPr>
              <w:t>12</w:t>
            </w:r>
            <w:r w:rsidR="00893069" w:rsidRPr="00A54B83">
              <w:rPr>
                <w:sz w:val="24"/>
                <w:szCs w:val="24"/>
              </w:rPr>
              <w:t xml:space="preserve">. </w:t>
            </w:r>
            <w:r w:rsidR="00594611" w:rsidRPr="00E41080">
              <w:rPr>
                <w:sz w:val="24"/>
                <w:szCs w:val="24"/>
              </w:rPr>
              <w:t xml:space="preserve"> </w:t>
            </w:r>
            <w:r w:rsidR="002E167B" w:rsidRPr="00E41080">
              <w:rPr>
                <w:color w:val="000000"/>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w:t>
            </w:r>
          </w:p>
          <w:p w14:paraId="2FAA166A" w14:textId="126D6EF1" w:rsidR="00893069" w:rsidRDefault="001832F3" w:rsidP="00594611">
            <w:pPr>
              <w:jc w:val="both"/>
              <w:rPr>
                <w:sz w:val="24"/>
                <w:szCs w:val="24"/>
              </w:rPr>
            </w:pPr>
            <w:r w:rsidRPr="00E41080">
              <w:rPr>
                <w:sz w:val="24"/>
                <w:szCs w:val="24"/>
              </w:rPr>
              <w:t>Представя се във формат „p</w:t>
            </w:r>
            <w:r>
              <w:rPr>
                <w:sz w:val="24"/>
                <w:szCs w:val="24"/>
              </w:rPr>
              <w:t>df“ или „jpg“;</w:t>
            </w:r>
          </w:p>
          <w:p w14:paraId="00C5FD30" w14:textId="72A33C2A" w:rsidR="00893069" w:rsidRDefault="00D05BFE" w:rsidP="006D174A">
            <w:pPr>
              <w:jc w:val="both"/>
              <w:rPr>
                <w:sz w:val="24"/>
                <w:szCs w:val="24"/>
              </w:rPr>
            </w:pPr>
            <w:r>
              <w:rPr>
                <w:sz w:val="24"/>
                <w:szCs w:val="24"/>
              </w:rPr>
              <w:t>13</w:t>
            </w:r>
            <w:r w:rsidR="00893069">
              <w:rPr>
                <w:sz w:val="24"/>
                <w:szCs w:val="24"/>
              </w:rPr>
              <w:t xml:space="preserve">. </w:t>
            </w:r>
            <w:r w:rsidR="00893069" w:rsidRPr="00893069">
              <w:rPr>
                <w:sz w:val="24"/>
                <w:szCs w:val="24"/>
              </w:rPr>
              <w:t xml:space="preserve">Подробни количествени сметки за предвидените строително-монтажни работи, заверени от правоспособно лице; </w:t>
            </w:r>
            <w:r w:rsidR="001832F3">
              <w:rPr>
                <w:sz w:val="24"/>
                <w:szCs w:val="24"/>
              </w:rPr>
              <w:t xml:space="preserve"> </w:t>
            </w:r>
            <w:r w:rsidR="001832F3" w:rsidRPr="001832F3">
              <w:rPr>
                <w:sz w:val="24"/>
                <w:szCs w:val="24"/>
              </w:rPr>
              <w:t xml:space="preserve">Представя се във </w:t>
            </w:r>
            <w:r w:rsidR="001832F3">
              <w:rPr>
                <w:sz w:val="24"/>
                <w:szCs w:val="24"/>
              </w:rPr>
              <w:t>формат „pdf“ и „xls“ или „xlsx“;</w:t>
            </w:r>
          </w:p>
          <w:p w14:paraId="7044B2C1" w14:textId="14EFFBB1" w:rsidR="00893069" w:rsidRPr="00611AE6" w:rsidRDefault="00D05BFE" w:rsidP="006D174A">
            <w:pPr>
              <w:jc w:val="both"/>
              <w:rPr>
                <w:sz w:val="24"/>
                <w:szCs w:val="24"/>
              </w:rPr>
            </w:pPr>
            <w:r>
              <w:rPr>
                <w:sz w:val="24"/>
                <w:szCs w:val="24"/>
              </w:rPr>
              <w:t>14</w:t>
            </w:r>
            <w:r w:rsidR="00893069">
              <w:rPr>
                <w:sz w:val="24"/>
                <w:szCs w:val="24"/>
              </w:rPr>
              <w:t xml:space="preserve">. </w:t>
            </w:r>
            <w:r w:rsidR="00893069" w:rsidRPr="00893069">
              <w:rPr>
                <w:sz w:val="24"/>
                <w:szCs w:val="24"/>
              </w:rPr>
              <w:t>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на разрешение за строеж, когато издаването му не се изисква съгласно Зако</w:t>
            </w:r>
            <w:r w:rsidR="006329A5">
              <w:rPr>
                <w:sz w:val="24"/>
                <w:szCs w:val="24"/>
              </w:rPr>
              <w:t>на за устройство на територията.</w:t>
            </w:r>
            <w:r w:rsidR="00893069" w:rsidRPr="00893069">
              <w:rPr>
                <w:sz w:val="24"/>
                <w:szCs w:val="24"/>
              </w:rPr>
              <w:t xml:space="preserve"> </w:t>
            </w:r>
            <w:r w:rsidR="006D174A" w:rsidRPr="001832F3">
              <w:rPr>
                <w:sz w:val="24"/>
                <w:szCs w:val="24"/>
              </w:rPr>
              <w:t>Представ</w:t>
            </w:r>
            <w:r w:rsidR="006D174A">
              <w:rPr>
                <w:sz w:val="24"/>
                <w:szCs w:val="24"/>
              </w:rPr>
              <w:t>я се във формат „pdf“ или „jpg“;</w:t>
            </w:r>
          </w:p>
          <w:p w14:paraId="5CFD7B73" w14:textId="2B877862" w:rsidR="00893069" w:rsidRDefault="00EC49AF" w:rsidP="006D174A">
            <w:pPr>
              <w:jc w:val="both"/>
              <w:rPr>
                <w:sz w:val="24"/>
                <w:szCs w:val="24"/>
              </w:rPr>
            </w:pPr>
            <w:r>
              <w:rPr>
                <w:sz w:val="24"/>
                <w:szCs w:val="24"/>
              </w:rPr>
              <w:t>1</w:t>
            </w:r>
            <w:r w:rsidR="00D05BFE">
              <w:rPr>
                <w:sz w:val="24"/>
                <w:szCs w:val="24"/>
              </w:rPr>
              <w:t>5</w:t>
            </w:r>
            <w:r w:rsidR="006D174A" w:rsidRPr="00611AE6">
              <w:rPr>
                <w:sz w:val="24"/>
                <w:szCs w:val="24"/>
              </w:rPr>
              <w:t>.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w:t>
            </w:r>
            <w:r w:rsidR="006D174A">
              <w:rPr>
                <w:sz w:val="24"/>
                <w:szCs w:val="24"/>
              </w:rPr>
              <w:t xml:space="preserve">ждане). </w:t>
            </w:r>
            <w:r w:rsidR="006D174A" w:rsidRPr="001832F3">
              <w:rPr>
                <w:sz w:val="24"/>
                <w:szCs w:val="24"/>
              </w:rPr>
              <w:t>Представ</w:t>
            </w:r>
            <w:r w:rsidR="006D174A">
              <w:rPr>
                <w:sz w:val="24"/>
                <w:szCs w:val="24"/>
              </w:rPr>
              <w:t>я се във формат „pdf“ или „jpg“;</w:t>
            </w:r>
          </w:p>
          <w:p w14:paraId="5C19D5ED" w14:textId="3F64AC06" w:rsidR="00893069" w:rsidRPr="00893069" w:rsidRDefault="00D05BFE" w:rsidP="00893069">
            <w:pPr>
              <w:jc w:val="both"/>
              <w:rPr>
                <w:sz w:val="24"/>
                <w:szCs w:val="24"/>
              </w:rPr>
            </w:pPr>
            <w:r>
              <w:rPr>
                <w:sz w:val="24"/>
                <w:szCs w:val="24"/>
              </w:rPr>
              <w:t>16</w:t>
            </w:r>
            <w:r w:rsidR="00893069">
              <w:rPr>
                <w:sz w:val="24"/>
                <w:szCs w:val="24"/>
              </w:rPr>
              <w:t xml:space="preserve">. </w:t>
            </w:r>
            <w:r w:rsidR="00893069" w:rsidRPr="00893069">
              <w:rPr>
                <w:sz w:val="24"/>
                <w:szCs w:val="24"/>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w:t>
            </w:r>
            <w:r w:rsidR="00A54B83">
              <w:rPr>
                <w:sz w:val="24"/>
                <w:szCs w:val="24"/>
              </w:rPr>
              <w:t>- недвижими културни ценности);</w:t>
            </w:r>
          </w:p>
          <w:p w14:paraId="77396D6F" w14:textId="63630237" w:rsidR="00893069" w:rsidRDefault="00D05BFE" w:rsidP="006D174A">
            <w:pPr>
              <w:jc w:val="both"/>
              <w:rPr>
                <w:sz w:val="24"/>
                <w:szCs w:val="24"/>
              </w:rPr>
            </w:pPr>
            <w:r>
              <w:rPr>
                <w:sz w:val="24"/>
                <w:szCs w:val="24"/>
              </w:rPr>
              <w:lastRenderedPageBreak/>
              <w:t>17</w:t>
            </w:r>
            <w:r w:rsidR="00893069">
              <w:rPr>
                <w:sz w:val="24"/>
                <w:szCs w:val="24"/>
              </w:rPr>
              <w:t xml:space="preserve">. </w:t>
            </w:r>
            <w:r w:rsidR="00893069" w:rsidRPr="00893069">
              <w:rPr>
                <w:sz w:val="24"/>
                <w:szCs w:val="24"/>
              </w:rPr>
              <w:t xml:space="preserve">Удостоверение от Националния институт за недвижимо културно наследство за статута на обекта като недвижима културна </w:t>
            </w:r>
            <w:r w:rsidR="00F44AFC">
              <w:rPr>
                <w:sz w:val="24"/>
                <w:szCs w:val="24"/>
              </w:rPr>
              <w:t>ценност във връзка с т. 17</w:t>
            </w:r>
            <w:r w:rsidR="00893069" w:rsidRPr="00893069">
              <w:rPr>
                <w:sz w:val="24"/>
                <w:szCs w:val="24"/>
              </w:rPr>
              <w:t xml:space="preserve">; </w:t>
            </w:r>
          </w:p>
          <w:p w14:paraId="1684C235" w14:textId="3550561D" w:rsidR="006D174A" w:rsidRDefault="00D05BFE" w:rsidP="006D174A">
            <w:pPr>
              <w:jc w:val="both"/>
              <w:rPr>
                <w:sz w:val="24"/>
                <w:szCs w:val="24"/>
              </w:rPr>
            </w:pPr>
            <w:r>
              <w:rPr>
                <w:sz w:val="24"/>
                <w:szCs w:val="24"/>
              </w:rPr>
              <w:t>18</w:t>
            </w:r>
            <w:r w:rsidR="00A54B83">
              <w:rPr>
                <w:sz w:val="24"/>
                <w:szCs w:val="24"/>
              </w:rPr>
              <w:t xml:space="preserve">. </w:t>
            </w:r>
            <w:r w:rsidR="002B60BF" w:rsidRPr="002B60BF">
              <w:rPr>
                <w:sz w:val="24"/>
                <w:szCs w:val="24"/>
              </w:rPr>
              <w:t>Лицензи, разрешения и/или друг документ, удостоверяващ регистрацията, в случаите на предвидени разходи за дейности и инвестиции, за които се изисква лицензиране, разрешение и/или регистрация за извършване на дейността/инвестицията съгласно българското законодателство и неупоме</w:t>
            </w:r>
            <w:r w:rsidR="00B65D81">
              <w:rPr>
                <w:sz w:val="24"/>
                <w:szCs w:val="24"/>
              </w:rPr>
              <w:t>нати изрично в настоящия списък</w:t>
            </w:r>
            <w:r w:rsidR="006D174A">
              <w:rPr>
                <w:sz w:val="24"/>
                <w:szCs w:val="24"/>
              </w:rPr>
              <w:t xml:space="preserve">. </w:t>
            </w:r>
            <w:r w:rsidR="006D174A" w:rsidRPr="001832F3">
              <w:rPr>
                <w:sz w:val="24"/>
                <w:szCs w:val="24"/>
              </w:rPr>
              <w:t>Представ</w:t>
            </w:r>
            <w:r w:rsidR="006D174A">
              <w:rPr>
                <w:sz w:val="24"/>
                <w:szCs w:val="24"/>
              </w:rPr>
              <w:t>я се във формат „pdf“ или „jpg“;</w:t>
            </w:r>
          </w:p>
          <w:p w14:paraId="71AEC2E8" w14:textId="7418C8DD" w:rsidR="00BA3F85" w:rsidRPr="00B624D6" w:rsidRDefault="00D05BFE" w:rsidP="006D174A">
            <w:pPr>
              <w:jc w:val="both"/>
              <w:rPr>
                <w:sz w:val="24"/>
                <w:szCs w:val="24"/>
              </w:rPr>
            </w:pPr>
            <w:r>
              <w:rPr>
                <w:sz w:val="24"/>
                <w:szCs w:val="24"/>
              </w:rPr>
              <w:t>19</w:t>
            </w:r>
            <w:r w:rsidR="006A7C03" w:rsidRPr="006A7C03">
              <w:rPr>
                <w:sz w:val="24"/>
                <w:szCs w:val="24"/>
              </w:rPr>
              <w:t xml:space="preserve">. </w:t>
            </w:r>
            <w:r w:rsidR="00A54B83" w:rsidRPr="00A54B83">
              <w:rPr>
                <w:sz w:val="24"/>
                <w:szCs w:val="24"/>
              </w:rPr>
              <w:t>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A54B83">
              <w:rPr>
                <w:sz w:val="24"/>
                <w:szCs w:val="24"/>
              </w:rPr>
              <w:t>.</w:t>
            </w:r>
            <w:r w:rsidR="00A54B83" w:rsidRPr="00A54B83" w:rsidDel="00A54B83">
              <w:rPr>
                <w:sz w:val="24"/>
                <w:szCs w:val="24"/>
              </w:rPr>
              <w:t xml:space="preserve"> </w:t>
            </w:r>
            <w:r w:rsidR="006A7C03" w:rsidRPr="001832F3">
              <w:rPr>
                <w:sz w:val="24"/>
                <w:szCs w:val="24"/>
              </w:rPr>
              <w:t>Представ</w:t>
            </w:r>
            <w:r w:rsidR="00B624D6">
              <w:rPr>
                <w:sz w:val="24"/>
                <w:szCs w:val="24"/>
              </w:rPr>
              <w:t>я се във формат „pdf“ или „jpg“.</w:t>
            </w:r>
            <w:r w:rsidR="00B624D6">
              <w:rPr>
                <w:sz w:val="24"/>
                <w:szCs w:val="24"/>
                <w:lang w:val="en-US"/>
              </w:rPr>
              <w:t xml:space="preserve"> (</w:t>
            </w:r>
            <w:r w:rsidR="00B624D6">
              <w:rPr>
                <w:sz w:val="24"/>
                <w:szCs w:val="24"/>
              </w:rPr>
              <w:t>неприложимо за общини</w:t>
            </w:r>
            <w:r w:rsidR="00B624D6">
              <w:rPr>
                <w:sz w:val="24"/>
                <w:szCs w:val="24"/>
                <w:lang w:val="en-US"/>
              </w:rPr>
              <w:t>)</w:t>
            </w:r>
            <w:r w:rsidR="00B624D6">
              <w:rPr>
                <w:sz w:val="24"/>
                <w:szCs w:val="24"/>
              </w:rPr>
              <w:t>;</w:t>
            </w:r>
          </w:p>
          <w:p w14:paraId="73DD6213" w14:textId="7FAACCFB" w:rsidR="00527B77" w:rsidRDefault="00D05BFE" w:rsidP="006D174A">
            <w:pPr>
              <w:jc w:val="both"/>
              <w:rPr>
                <w:sz w:val="24"/>
                <w:szCs w:val="24"/>
              </w:rPr>
            </w:pPr>
            <w:r>
              <w:rPr>
                <w:sz w:val="24"/>
                <w:szCs w:val="24"/>
              </w:rPr>
              <w:t>20</w:t>
            </w:r>
            <w:r w:rsidR="00527B77" w:rsidRPr="00527B77">
              <w:rPr>
                <w:sz w:val="24"/>
                <w:szCs w:val="24"/>
              </w:rPr>
              <w:t>. Една независима оферта в оригинал</w:t>
            </w:r>
            <w:r w:rsidR="00806BF5">
              <w:rPr>
                <w:sz w:val="24"/>
                <w:szCs w:val="24"/>
              </w:rPr>
              <w:t>. П</w:t>
            </w:r>
            <w:r w:rsidR="00527B77" w:rsidRPr="00527B77">
              <w:rPr>
                <w:sz w:val="24"/>
                <w:szCs w:val="24"/>
              </w:rPr>
              <w:t>редставя се във формат „pdf“ или „jpg“;</w:t>
            </w:r>
          </w:p>
          <w:p w14:paraId="2505FCFC" w14:textId="0B20CA18" w:rsidR="006A7C03" w:rsidRDefault="00D05BFE" w:rsidP="006D174A">
            <w:pPr>
              <w:jc w:val="both"/>
              <w:rPr>
                <w:sz w:val="24"/>
                <w:szCs w:val="24"/>
              </w:rPr>
            </w:pPr>
            <w:r>
              <w:rPr>
                <w:sz w:val="24"/>
                <w:szCs w:val="24"/>
              </w:rPr>
              <w:t>21</w:t>
            </w:r>
            <w:r w:rsidR="00BA3F85">
              <w:rPr>
                <w:sz w:val="24"/>
                <w:szCs w:val="24"/>
              </w:rPr>
              <w:t xml:space="preserve">. </w:t>
            </w:r>
            <w:r w:rsidR="006A7C03" w:rsidRPr="00611AE6">
              <w:rPr>
                <w:sz w:val="24"/>
                <w:szCs w:val="24"/>
              </w:rPr>
              <w:t xml:space="preserve"> Най-малко три съпоставими независими оферти в оригинал</w:t>
            </w:r>
            <w:r w:rsidR="00806BF5">
              <w:rPr>
                <w:sz w:val="24"/>
                <w:szCs w:val="24"/>
              </w:rPr>
              <w:t xml:space="preserve">. </w:t>
            </w:r>
            <w:r w:rsidR="006A7C03" w:rsidRPr="001832F3">
              <w:rPr>
                <w:sz w:val="24"/>
                <w:szCs w:val="24"/>
              </w:rPr>
              <w:t>Представ</w:t>
            </w:r>
            <w:r w:rsidR="006A7C03">
              <w:rPr>
                <w:sz w:val="24"/>
                <w:szCs w:val="24"/>
              </w:rPr>
              <w:t>я</w:t>
            </w:r>
            <w:r w:rsidR="00806BF5">
              <w:rPr>
                <w:sz w:val="24"/>
                <w:szCs w:val="24"/>
              </w:rPr>
              <w:t>т</w:t>
            </w:r>
            <w:r w:rsidR="006A7C03">
              <w:rPr>
                <w:sz w:val="24"/>
                <w:szCs w:val="24"/>
              </w:rPr>
              <w:t xml:space="preserve"> се във формат „pdf“ или „jpg“;</w:t>
            </w:r>
          </w:p>
          <w:p w14:paraId="0B61CCA6" w14:textId="0170B9A0" w:rsidR="006A7C03" w:rsidRDefault="00EC49AF" w:rsidP="006A7C03">
            <w:pPr>
              <w:jc w:val="both"/>
              <w:rPr>
                <w:sz w:val="24"/>
                <w:szCs w:val="24"/>
              </w:rPr>
            </w:pPr>
            <w:r>
              <w:rPr>
                <w:sz w:val="24"/>
                <w:szCs w:val="24"/>
              </w:rPr>
              <w:t>2</w:t>
            </w:r>
            <w:r w:rsidR="00D05BFE">
              <w:rPr>
                <w:sz w:val="24"/>
                <w:szCs w:val="24"/>
              </w:rPr>
              <w:t>2</w:t>
            </w:r>
            <w:r w:rsidR="006A7C03" w:rsidRPr="006A7C03">
              <w:rPr>
                <w:sz w:val="24"/>
                <w:szCs w:val="24"/>
              </w:rPr>
              <w:t>. В случаите, когато оферентите са чуждестранни лица, следва да представят документ за правосубектност съгласно н</w:t>
            </w:r>
            <w:r w:rsidR="006A7C03">
              <w:rPr>
                <w:sz w:val="24"/>
                <w:szCs w:val="24"/>
              </w:rPr>
              <w:t xml:space="preserve">ационалното им законодателство. </w:t>
            </w:r>
            <w:r w:rsidR="006A7C03" w:rsidRPr="006A7C03">
              <w:rPr>
                <w:sz w:val="24"/>
                <w:szCs w:val="24"/>
              </w:rPr>
              <w:t>Представ</w:t>
            </w:r>
            <w:r w:rsidR="006A7C03">
              <w:rPr>
                <w:sz w:val="24"/>
                <w:szCs w:val="24"/>
              </w:rPr>
              <w:t>я се във формат „pdf“ или „jpg”;</w:t>
            </w:r>
          </w:p>
          <w:p w14:paraId="3204106F" w14:textId="4CAAC38E" w:rsidR="00BA3F85" w:rsidRDefault="00D05BFE" w:rsidP="006A7C03">
            <w:pPr>
              <w:jc w:val="both"/>
              <w:rPr>
                <w:sz w:val="24"/>
                <w:szCs w:val="24"/>
              </w:rPr>
            </w:pPr>
            <w:r>
              <w:rPr>
                <w:sz w:val="24"/>
                <w:szCs w:val="24"/>
              </w:rPr>
              <w:t>23</w:t>
            </w:r>
            <w:r w:rsidR="00BA3F85">
              <w:rPr>
                <w:sz w:val="24"/>
                <w:szCs w:val="24"/>
              </w:rPr>
              <w:t xml:space="preserve">. </w:t>
            </w:r>
            <w:r w:rsidR="00BA3F85" w:rsidRPr="00BA3F85">
              <w:rPr>
                <w:sz w:val="24"/>
                <w:szCs w:val="24"/>
              </w:rPr>
              <w:t>Документи за проведен избор на изпълнител по Закона за обществените поръчки за кандидати, които са възложители по Закона за обществените поръчки (когато е приложимо);</w:t>
            </w:r>
          </w:p>
          <w:p w14:paraId="4E2B39C0" w14:textId="5041C6EB" w:rsidR="000621E7" w:rsidRPr="00611AE6" w:rsidRDefault="00EC49AF" w:rsidP="000621E7">
            <w:pPr>
              <w:jc w:val="both"/>
              <w:rPr>
                <w:sz w:val="24"/>
                <w:szCs w:val="24"/>
              </w:rPr>
            </w:pPr>
            <w:r>
              <w:rPr>
                <w:sz w:val="24"/>
                <w:szCs w:val="24"/>
              </w:rPr>
              <w:t>2</w:t>
            </w:r>
            <w:r w:rsidR="00D05BFE">
              <w:rPr>
                <w:sz w:val="24"/>
                <w:szCs w:val="24"/>
              </w:rPr>
              <w:t>4</w:t>
            </w:r>
            <w:r w:rsidR="000621E7" w:rsidRPr="00611AE6">
              <w:rPr>
                <w:sz w:val="24"/>
                <w:szCs w:val="24"/>
              </w:rPr>
              <w:t xml:space="preserve">. </w:t>
            </w:r>
            <w:r w:rsidR="002B60BF" w:rsidRPr="002B60BF">
              <w:rPr>
                <w:sz w:val="24"/>
                <w:szCs w:val="24"/>
              </w:rPr>
              <w:t>Анализ разх</w:t>
            </w:r>
            <w:r w:rsidR="00456FCC">
              <w:rPr>
                <w:sz w:val="24"/>
                <w:szCs w:val="24"/>
              </w:rPr>
              <w:t>оди-ползи (финансов анализ)</w:t>
            </w:r>
            <w:r w:rsidR="0071606E">
              <w:rPr>
                <w:sz w:val="24"/>
                <w:szCs w:val="24"/>
              </w:rPr>
              <w:t xml:space="preserve"> - </w:t>
            </w:r>
            <w:r w:rsidR="00274D04">
              <w:rPr>
                <w:sz w:val="24"/>
                <w:szCs w:val="24"/>
              </w:rPr>
              <w:t xml:space="preserve">(Приложение </w:t>
            </w:r>
            <w:r w:rsidR="00EA00EA">
              <w:rPr>
                <w:sz w:val="24"/>
                <w:szCs w:val="24"/>
              </w:rPr>
              <w:t>№ 9</w:t>
            </w:r>
            <w:r w:rsidR="00274D04">
              <w:rPr>
                <w:sz w:val="24"/>
                <w:szCs w:val="24"/>
              </w:rPr>
              <w:t>.1 и Приложе</w:t>
            </w:r>
            <w:r w:rsidR="00EA00EA">
              <w:rPr>
                <w:sz w:val="24"/>
                <w:szCs w:val="24"/>
              </w:rPr>
              <w:t>ние 9</w:t>
            </w:r>
            <w:r w:rsidR="00274D04">
              <w:rPr>
                <w:sz w:val="24"/>
                <w:szCs w:val="24"/>
              </w:rPr>
              <w:t>.2.)</w:t>
            </w:r>
            <w:r w:rsidR="002B60BF" w:rsidRPr="002B60BF">
              <w:rPr>
                <w:sz w:val="24"/>
                <w:szCs w:val="24"/>
              </w:rPr>
              <w:t>;</w:t>
            </w:r>
          </w:p>
          <w:p w14:paraId="39448929" w14:textId="6BD26EC1" w:rsidR="00611AE6" w:rsidRPr="00611AE6" w:rsidRDefault="00D05BFE" w:rsidP="00611AE6">
            <w:pPr>
              <w:jc w:val="both"/>
              <w:rPr>
                <w:sz w:val="24"/>
                <w:szCs w:val="24"/>
              </w:rPr>
            </w:pPr>
            <w:r>
              <w:rPr>
                <w:sz w:val="24"/>
                <w:szCs w:val="24"/>
              </w:rPr>
              <w:t>25</w:t>
            </w:r>
            <w:r w:rsidR="00611AE6" w:rsidRPr="00611AE6">
              <w:rPr>
                <w:sz w:val="24"/>
                <w:szCs w:val="24"/>
              </w:rPr>
              <w:t>.  Решение на компетентния орган на ЮЛНЦ за кандидатстване по реда на настоящата процедура</w:t>
            </w:r>
            <w:r w:rsidR="00B624D6">
              <w:rPr>
                <w:sz w:val="24"/>
                <w:szCs w:val="24"/>
              </w:rPr>
              <w:t>. (неприложимо за общини)</w:t>
            </w:r>
            <w:r w:rsidR="00611AE6" w:rsidRPr="00611AE6">
              <w:rPr>
                <w:sz w:val="24"/>
                <w:szCs w:val="24"/>
              </w:rPr>
              <w:t>;</w:t>
            </w:r>
          </w:p>
          <w:p w14:paraId="6ACCA561" w14:textId="438E6001" w:rsidR="00A54E0A" w:rsidRDefault="00F84DF8" w:rsidP="00611AE6">
            <w:pPr>
              <w:jc w:val="both"/>
              <w:rPr>
                <w:sz w:val="24"/>
                <w:szCs w:val="24"/>
              </w:rPr>
            </w:pPr>
            <w:r>
              <w:rPr>
                <w:sz w:val="24"/>
                <w:szCs w:val="24"/>
              </w:rPr>
              <w:t>26</w:t>
            </w:r>
            <w:r w:rsidR="00A54B83">
              <w:rPr>
                <w:sz w:val="24"/>
                <w:szCs w:val="24"/>
              </w:rPr>
              <w:t xml:space="preserve">. </w:t>
            </w:r>
            <w:r w:rsidR="002B60BF" w:rsidRPr="002B60BF">
              <w:rPr>
                <w:sz w:val="24"/>
                <w:szCs w:val="24"/>
              </w:rPr>
              <w:t xml:space="preserve">Копие от учредителен акт или устав, когато кандидат/получател е лице, регистрирано по Закона за юридическите лица с нестопанска цел или </w:t>
            </w:r>
            <w:r w:rsidR="002B60BF">
              <w:rPr>
                <w:sz w:val="24"/>
                <w:szCs w:val="24"/>
              </w:rPr>
              <w:t>по Закона за народните читалища</w:t>
            </w:r>
            <w:r w:rsidR="002B60BF" w:rsidRPr="002B60BF">
              <w:rPr>
                <w:sz w:val="24"/>
                <w:szCs w:val="24"/>
              </w:rPr>
              <w:t xml:space="preserve"> </w:t>
            </w:r>
            <w:r w:rsidR="00611AE6" w:rsidRPr="00611AE6">
              <w:rPr>
                <w:sz w:val="24"/>
                <w:szCs w:val="24"/>
              </w:rPr>
              <w:t>(</w:t>
            </w:r>
            <w:r w:rsidR="00B624D6">
              <w:rPr>
                <w:sz w:val="24"/>
                <w:szCs w:val="24"/>
              </w:rPr>
              <w:t>неприложимо за</w:t>
            </w:r>
            <w:r w:rsidR="00611AE6" w:rsidRPr="00611AE6">
              <w:rPr>
                <w:sz w:val="24"/>
                <w:szCs w:val="24"/>
              </w:rPr>
              <w:t xml:space="preserve"> общини);</w:t>
            </w:r>
          </w:p>
          <w:p w14:paraId="50FEA27A" w14:textId="2399BD87" w:rsidR="00A54E0A" w:rsidRDefault="00F84DF8" w:rsidP="00611AE6">
            <w:pPr>
              <w:jc w:val="both"/>
              <w:rPr>
                <w:sz w:val="24"/>
                <w:szCs w:val="24"/>
              </w:rPr>
            </w:pPr>
            <w:r>
              <w:rPr>
                <w:sz w:val="24"/>
                <w:szCs w:val="24"/>
              </w:rPr>
              <w:t>27</w:t>
            </w:r>
            <w:r w:rsidR="00A54B83">
              <w:rPr>
                <w:sz w:val="24"/>
                <w:szCs w:val="24"/>
              </w:rPr>
              <w:t xml:space="preserve">. </w:t>
            </w:r>
            <w:r w:rsidR="00A54E0A" w:rsidRPr="00A54E0A">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r w:rsidR="00B624D6">
              <w:rPr>
                <w:sz w:val="24"/>
                <w:szCs w:val="24"/>
              </w:rPr>
              <w:t xml:space="preserve"> (неприложимо за общини)</w:t>
            </w:r>
            <w:r w:rsidR="00A54E0A" w:rsidRPr="00A54E0A">
              <w:rPr>
                <w:sz w:val="24"/>
                <w:szCs w:val="24"/>
              </w:rPr>
              <w:t>;</w:t>
            </w:r>
          </w:p>
          <w:p w14:paraId="379182DF" w14:textId="50CC1970" w:rsidR="00611AE6" w:rsidRPr="00611AE6" w:rsidRDefault="00F84DF8" w:rsidP="00611AE6">
            <w:pPr>
              <w:jc w:val="both"/>
              <w:rPr>
                <w:sz w:val="24"/>
                <w:szCs w:val="24"/>
              </w:rPr>
            </w:pPr>
            <w:r>
              <w:rPr>
                <w:sz w:val="24"/>
                <w:szCs w:val="24"/>
              </w:rPr>
              <w:t>28</w:t>
            </w:r>
            <w:r w:rsidR="00611AE6" w:rsidRPr="00611AE6">
              <w:rPr>
                <w:sz w:val="24"/>
                <w:szCs w:val="24"/>
              </w:rPr>
              <w:t>. Декларация в оригинал по чл. 4</w:t>
            </w:r>
            <w:r w:rsidR="000621E7">
              <w:rPr>
                <w:sz w:val="24"/>
                <w:szCs w:val="24"/>
              </w:rPr>
              <w:t>а, ал. 1</w:t>
            </w:r>
            <w:r w:rsidR="00611AE6" w:rsidRPr="00611AE6">
              <w:rPr>
                <w:sz w:val="24"/>
                <w:szCs w:val="24"/>
              </w:rPr>
              <w:t xml:space="preserve"> </w:t>
            </w:r>
            <w:r w:rsidR="000621E7">
              <w:rPr>
                <w:sz w:val="24"/>
                <w:szCs w:val="24"/>
              </w:rPr>
              <w:t>Закона за малките и средните предприятия по образец, утвърден от министъра на икономиката и енергетиката, когато е приложимо</w:t>
            </w:r>
            <w:r w:rsidR="00B624D6">
              <w:rPr>
                <w:sz w:val="24"/>
                <w:szCs w:val="24"/>
              </w:rPr>
              <w:t>. (неприложимо за общини)</w:t>
            </w:r>
            <w:r w:rsidR="00594611">
              <w:rPr>
                <w:sz w:val="24"/>
                <w:szCs w:val="24"/>
              </w:rPr>
              <w:t>;</w:t>
            </w:r>
          </w:p>
          <w:p w14:paraId="0BAB0444" w14:textId="32F89DB5" w:rsidR="00611AE6" w:rsidRPr="00611AE6" w:rsidRDefault="00F84DF8" w:rsidP="00611AE6">
            <w:pPr>
              <w:jc w:val="both"/>
              <w:rPr>
                <w:sz w:val="24"/>
                <w:szCs w:val="24"/>
              </w:rPr>
            </w:pPr>
            <w:r>
              <w:rPr>
                <w:sz w:val="24"/>
                <w:szCs w:val="24"/>
              </w:rPr>
              <w:t>29</w:t>
            </w:r>
            <w:r w:rsidR="00611AE6" w:rsidRPr="00611AE6">
              <w:rPr>
                <w:sz w:val="24"/>
                <w:szCs w:val="24"/>
              </w:rPr>
              <w:t>.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w:t>
            </w:r>
            <w:r w:rsidR="007A440D">
              <w:rPr>
                <w:sz w:val="24"/>
                <w:szCs w:val="24"/>
              </w:rPr>
              <w:t xml:space="preserve"> г., ведно с банкови извлечения;</w:t>
            </w:r>
          </w:p>
          <w:p w14:paraId="3ACF6B23" w14:textId="1CD7E617" w:rsidR="00611AE6" w:rsidRPr="00611AE6" w:rsidRDefault="00EC49AF" w:rsidP="00611AE6">
            <w:pPr>
              <w:jc w:val="both"/>
              <w:rPr>
                <w:sz w:val="24"/>
                <w:szCs w:val="24"/>
              </w:rPr>
            </w:pPr>
            <w:r>
              <w:rPr>
                <w:sz w:val="24"/>
                <w:szCs w:val="24"/>
              </w:rPr>
              <w:t>3</w:t>
            </w:r>
            <w:r w:rsidR="00F84DF8">
              <w:rPr>
                <w:sz w:val="24"/>
                <w:szCs w:val="24"/>
              </w:rPr>
              <w:t>0</w:t>
            </w:r>
            <w:r w:rsidR="00611AE6" w:rsidRPr="00611AE6">
              <w:rPr>
                <w:sz w:val="24"/>
                <w:szCs w:val="24"/>
              </w:rPr>
              <w:t xml:space="preserve">. Одобрен технически/технологичен проект, придружен от предпроектно проучване, изготвен и съгласуван от правоспособно лице - за инвестиции за производство на енергия от възобновяеми енергийни източници; </w:t>
            </w:r>
          </w:p>
          <w:p w14:paraId="424DEDAA" w14:textId="7BE20CA4" w:rsidR="00611AE6" w:rsidRPr="00611AE6" w:rsidRDefault="00EC49AF" w:rsidP="00611AE6">
            <w:pPr>
              <w:jc w:val="both"/>
              <w:rPr>
                <w:sz w:val="24"/>
                <w:szCs w:val="24"/>
              </w:rPr>
            </w:pPr>
            <w:r>
              <w:rPr>
                <w:sz w:val="24"/>
                <w:szCs w:val="24"/>
              </w:rPr>
              <w:t>3</w:t>
            </w:r>
            <w:r w:rsidR="00F84DF8">
              <w:rPr>
                <w:sz w:val="24"/>
                <w:szCs w:val="24"/>
              </w:rPr>
              <w:t>1</w:t>
            </w:r>
            <w:r w:rsidR="00611AE6" w:rsidRPr="00611AE6">
              <w:rPr>
                <w:sz w:val="24"/>
                <w:szCs w:val="24"/>
              </w:rPr>
              <w:t>. Удостоверение за ползван патент и/или удостоверение за полезен модел или внедряване на инвестиции, когато е приложимо;</w:t>
            </w:r>
          </w:p>
          <w:p w14:paraId="2E37E431" w14:textId="245CDB9D" w:rsidR="00296038" w:rsidRDefault="00F84DF8" w:rsidP="005D29D8">
            <w:pPr>
              <w:jc w:val="both"/>
              <w:rPr>
                <w:sz w:val="24"/>
                <w:szCs w:val="24"/>
              </w:rPr>
            </w:pPr>
            <w:r>
              <w:rPr>
                <w:sz w:val="24"/>
                <w:szCs w:val="24"/>
              </w:rPr>
              <w:lastRenderedPageBreak/>
              <w:t>32</w:t>
            </w:r>
            <w:r w:rsidR="00611AE6" w:rsidRPr="00611AE6">
              <w:rPr>
                <w:sz w:val="24"/>
                <w:szCs w:val="24"/>
              </w:rPr>
              <w:t xml:space="preserve">. Декларация за </w:t>
            </w:r>
            <w:r w:rsidR="000621E7">
              <w:rPr>
                <w:sz w:val="24"/>
                <w:szCs w:val="24"/>
              </w:rPr>
              <w:t>генериране на нетни приходи</w:t>
            </w:r>
            <w:r w:rsidR="00296038">
              <w:rPr>
                <w:sz w:val="24"/>
                <w:szCs w:val="24"/>
              </w:rPr>
              <w:t>;</w:t>
            </w:r>
          </w:p>
          <w:p w14:paraId="0AA58F69" w14:textId="59ACFF0B" w:rsidR="00296038" w:rsidRPr="00296038" w:rsidRDefault="00F84DF8" w:rsidP="00296038">
            <w:pPr>
              <w:jc w:val="both"/>
              <w:rPr>
                <w:sz w:val="24"/>
                <w:szCs w:val="24"/>
              </w:rPr>
            </w:pPr>
            <w:r>
              <w:rPr>
                <w:sz w:val="24"/>
                <w:szCs w:val="24"/>
              </w:rPr>
              <w:t>33</w:t>
            </w:r>
            <w:r w:rsidR="00296038">
              <w:rPr>
                <w:sz w:val="24"/>
                <w:szCs w:val="24"/>
              </w:rPr>
              <w:t xml:space="preserve">. </w:t>
            </w:r>
            <w:r w:rsidR="00296038" w:rsidRPr="00296038">
              <w:rPr>
                <w:sz w:val="24"/>
                <w:szCs w:val="24"/>
              </w:rPr>
              <w:t>Годишен финансово-счетоводен отчет, от който да е видно финансово-счетоводно</w:t>
            </w:r>
          </w:p>
          <w:p w14:paraId="0C7B744F" w14:textId="77777777" w:rsidR="00296038" w:rsidRPr="00296038" w:rsidRDefault="00296038" w:rsidP="00296038">
            <w:pPr>
              <w:jc w:val="both"/>
              <w:rPr>
                <w:sz w:val="24"/>
                <w:szCs w:val="24"/>
              </w:rPr>
            </w:pPr>
            <w:r w:rsidRPr="00296038">
              <w:rPr>
                <w:sz w:val="24"/>
                <w:szCs w:val="24"/>
              </w:rPr>
              <w:t>(в т. ч. аналитично) обособяване на икономическата и неикономическа дейност -</w:t>
            </w:r>
          </w:p>
          <w:p w14:paraId="62BF8F6D" w14:textId="0B31744F" w:rsidR="004B253B" w:rsidRDefault="00456FCC" w:rsidP="00296038">
            <w:pPr>
              <w:jc w:val="both"/>
              <w:rPr>
                <w:sz w:val="24"/>
                <w:szCs w:val="24"/>
              </w:rPr>
            </w:pPr>
            <w:r>
              <w:rPr>
                <w:sz w:val="24"/>
                <w:szCs w:val="24"/>
              </w:rPr>
              <w:t>„pdf“/“jp</w:t>
            </w:r>
            <w:r>
              <w:rPr>
                <w:sz w:val="24"/>
                <w:szCs w:val="24"/>
                <w:lang w:val="en-US"/>
              </w:rPr>
              <w:t>g</w:t>
            </w:r>
            <w:r w:rsidR="001429BC">
              <w:rPr>
                <w:sz w:val="24"/>
                <w:szCs w:val="24"/>
              </w:rPr>
              <w:t>”. (неприложимо за общини);</w:t>
            </w:r>
          </w:p>
          <w:p w14:paraId="10D3200B" w14:textId="789E9AB2" w:rsidR="00375B01" w:rsidRDefault="00F84DF8" w:rsidP="00296038">
            <w:pPr>
              <w:jc w:val="both"/>
              <w:rPr>
                <w:sz w:val="24"/>
                <w:szCs w:val="24"/>
              </w:rPr>
            </w:pPr>
            <w:r>
              <w:rPr>
                <w:sz w:val="24"/>
                <w:szCs w:val="24"/>
              </w:rPr>
              <w:t>34</w:t>
            </w:r>
            <w:r w:rsidR="00375B01">
              <w:rPr>
                <w:sz w:val="24"/>
                <w:szCs w:val="24"/>
              </w:rPr>
              <w:t xml:space="preserve">. Декларация за липса или наличие на двойно финансиране по проекта - </w:t>
            </w:r>
            <w:r w:rsidR="00375B01" w:rsidRPr="00375B01">
              <w:rPr>
                <w:sz w:val="24"/>
                <w:szCs w:val="24"/>
              </w:rPr>
              <w:t>„pdf“/“jpg”;</w:t>
            </w:r>
          </w:p>
          <w:p w14:paraId="77BD46A8" w14:textId="0CCEAE31" w:rsidR="00375B01" w:rsidRDefault="00F84DF8" w:rsidP="00296038">
            <w:pPr>
              <w:jc w:val="both"/>
              <w:rPr>
                <w:sz w:val="24"/>
                <w:szCs w:val="24"/>
              </w:rPr>
            </w:pPr>
            <w:r>
              <w:rPr>
                <w:sz w:val="24"/>
                <w:szCs w:val="24"/>
              </w:rPr>
              <w:t>35</w:t>
            </w:r>
            <w:r w:rsidR="00375B01">
              <w:rPr>
                <w:sz w:val="24"/>
                <w:szCs w:val="24"/>
              </w:rPr>
              <w:t>. Декларация за липса на изкуствено създадени условия -„p</w:t>
            </w:r>
            <w:r w:rsidR="006E6AB8">
              <w:rPr>
                <w:sz w:val="24"/>
                <w:szCs w:val="24"/>
              </w:rPr>
              <w:t>df“/“jpg”;</w:t>
            </w:r>
          </w:p>
          <w:p w14:paraId="5D33483F" w14:textId="62258DCF" w:rsidR="00BC766B" w:rsidRDefault="00F84DF8" w:rsidP="005D29D8">
            <w:pPr>
              <w:jc w:val="both"/>
              <w:rPr>
                <w:sz w:val="24"/>
                <w:szCs w:val="24"/>
              </w:rPr>
            </w:pPr>
            <w:r>
              <w:rPr>
                <w:sz w:val="24"/>
                <w:szCs w:val="24"/>
              </w:rPr>
              <w:t>36</w:t>
            </w:r>
            <w:r w:rsidR="00BC766B">
              <w:rPr>
                <w:sz w:val="24"/>
                <w:szCs w:val="24"/>
              </w:rPr>
              <w:t>. Декларация за минимални помощи (ако е приложимо).</w:t>
            </w:r>
          </w:p>
          <w:p w14:paraId="238A6053" w14:textId="6E1BB32A" w:rsidR="00806BF5" w:rsidRDefault="00F84DF8" w:rsidP="005D29D8">
            <w:pPr>
              <w:jc w:val="both"/>
              <w:rPr>
                <w:sz w:val="24"/>
                <w:szCs w:val="24"/>
              </w:rPr>
            </w:pPr>
            <w:r>
              <w:rPr>
                <w:sz w:val="24"/>
                <w:szCs w:val="24"/>
              </w:rPr>
              <w:t>37</w:t>
            </w:r>
            <w:r w:rsidR="00806BF5">
              <w:rPr>
                <w:sz w:val="24"/>
                <w:szCs w:val="24"/>
              </w:rPr>
              <w:t xml:space="preserve">. </w:t>
            </w:r>
            <w:r w:rsidR="00DE56E9">
              <w:rPr>
                <w:sz w:val="24"/>
                <w:szCs w:val="24"/>
              </w:rPr>
              <w:t>Образец на запитване за оферта</w:t>
            </w:r>
            <w:r w:rsidR="00EA00EA">
              <w:rPr>
                <w:sz w:val="24"/>
                <w:szCs w:val="24"/>
              </w:rPr>
              <w:t xml:space="preserve"> съгласно приложение № 13</w:t>
            </w:r>
            <w:r w:rsidR="00122B6A">
              <w:rPr>
                <w:sz w:val="24"/>
                <w:szCs w:val="24"/>
              </w:rPr>
              <w:t>.</w:t>
            </w:r>
          </w:p>
          <w:p w14:paraId="0FDCC550" w14:textId="20FD90DA" w:rsidR="005928CB" w:rsidRDefault="00F84DF8" w:rsidP="005D29D8">
            <w:pPr>
              <w:jc w:val="both"/>
              <w:rPr>
                <w:sz w:val="24"/>
                <w:szCs w:val="24"/>
              </w:rPr>
            </w:pPr>
            <w:r>
              <w:rPr>
                <w:sz w:val="24"/>
                <w:szCs w:val="24"/>
              </w:rPr>
              <w:t>38</w:t>
            </w:r>
            <w:r w:rsidR="005928CB">
              <w:rPr>
                <w:sz w:val="24"/>
                <w:szCs w:val="24"/>
              </w:rPr>
              <w:t xml:space="preserve">. </w:t>
            </w:r>
            <w:r w:rsidR="00EA00EA" w:rsidRPr="00EA00EA">
              <w:rPr>
                <w:sz w:val="24"/>
                <w:szCs w:val="24"/>
              </w:rPr>
              <w:t xml:space="preserve">Декларация за липса на основания за отстраняване </w:t>
            </w:r>
            <w:r w:rsidR="00EA00EA">
              <w:rPr>
                <w:sz w:val="24"/>
                <w:szCs w:val="24"/>
              </w:rPr>
              <w:t>– Приложение № 5</w:t>
            </w:r>
            <w:r w:rsidR="005928CB">
              <w:rPr>
                <w:sz w:val="24"/>
                <w:szCs w:val="24"/>
              </w:rPr>
              <w:t>;</w:t>
            </w:r>
          </w:p>
          <w:p w14:paraId="3736A709" w14:textId="40A2B22A" w:rsidR="00335E13" w:rsidRDefault="00F84DF8" w:rsidP="005D29D8">
            <w:pPr>
              <w:jc w:val="both"/>
              <w:rPr>
                <w:sz w:val="24"/>
                <w:szCs w:val="24"/>
              </w:rPr>
            </w:pPr>
            <w:r>
              <w:rPr>
                <w:sz w:val="24"/>
                <w:szCs w:val="24"/>
              </w:rPr>
              <w:t>39</w:t>
            </w:r>
            <w:r w:rsidR="00335E13">
              <w:rPr>
                <w:sz w:val="24"/>
                <w:szCs w:val="24"/>
              </w:rPr>
              <w:t xml:space="preserve">. </w:t>
            </w:r>
            <w:r w:rsidR="00335E13" w:rsidRPr="00335E13">
              <w:rPr>
                <w:sz w:val="24"/>
                <w:szCs w:val="24"/>
              </w:rPr>
              <w:t>Декларация за неприложими документи</w:t>
            </w:r>
            <w:r w:rsidR="00EA00EA">
              <w:rPr>
                <w:sz w:val="24"/>
                <w:szCs w:val="24"/>
              </w:rPr>
              <w:t xml:space="preserve"> – Приложение № 6</w:t>
            </w:r>
            <w:r w:rsidR="00335E13" w:rsidRPr="00335E13">
              <w:rPr>
                <w:sz w:val="24"/>
                <w:szCs w:val="24"/>
              </w:rPr>
              <w:t>;</w:t>
            </w:r>
          </w:p>
          <w:p w14:paraId="031EC49A" w14:textId="3FEA3140" w:rsidR="0022341C" w:rsidRDefault="00F84DF8" w:rsidP="005D29D8">
            <w:pPr>
              <w:jc w:val="both"/>
              <w:rPr>
                <w:sz w:val="24"/>
                <w:szCs w:val="24"/>
              </w:rPr>
            </w:pPr>
            <w:r>
              <w:rPr>
                <w:sz w:val="24"/>
                <w:szCs w:val="24"/>
              </w:rPr>
              <w:t>40</w:t>
            </w:r>
            <w:r w:rsidR="0022341C">
              <w:rPr>
                <w:sz w:val="24"/>
                <w:szCs w:val="24"/>
              </w:rPr>
              <w:t xml:space="preserve">. </w:t>
            </w:r>
            <w:r w:rsidR="0022341C" w:rsidRPr="0022341C">
              <w:rPr>
                <w:sz w:val="24"/>
                <w:szCs w:val="24"/>
              </w:rPr>
              <w:t xml:space="preserve">Декларация за съгласие за предоставяне на данни от НСИ - Приложение </w:t>
            </w:r>
            <w:r w:rsidR="008F5CA5">
              <w:rPr>
                <w:sz w:val="24"/>
                <w:szCs w:val="24"/>
              </w:rPr>
              <w:t xml:space="preserve">№ </w:t>
            </w:r>
            <w:r w:rsidR="0022341C" w:rsidRPr="0022341C">
              <w:rPr>
                <w:sz w:val="24"/>
                <w:szCs w:val="24"/>
              </w:rPr>
              <w:t>8</w:t>
            </w:r>
            <w:r w:rsidR="0022341C">
              <w:rPr>
                <w:sz w:val="24"/>
                <w:szCs w:val="24"/>
              </w:rPr>
              <w:t>;</w:t>
            </w:r>
          </w:p>
          <w:p w14:paraId="5115EA62" w14:textId="6878C7E7" w:rsidR="008F5CA5" w:rsidRDefault="008F5CA5" w:rsidP="005D29D8">
            <w:pPr>
              <w:jc w:val="both"/>
              <w:rPr>
                <w:sz w:val="24"/>
                <w:szCs w:val="24"/>
              </w:rPr>
            </w:pPr>
            <w:r>
              <w:rPr>
                <w:sz w:val="24"/>
                <w:szCs w:val="24"/>
              </w:rPr>
              <w:t>41.</w:t>
            </w:r>
            <w:r>
              <w:t xml:space="preserve"> </w:t>
            </w:r>
            <w:r w:rsidRPr="008F5CA5">
              <w:rPr>
                <w:sz w:val="24"/>
                <w:szCs w:val="24"/>
              </w:rPr>
              <w:t xml:space="preserve"> Декларация за свързаност съгласно Заповед №РД 09-64703.07.2019 (</w:t>
            </w:r>
            <w:r>
              <w:rPr>
                <w:sz w:val="24"/>
                <w:szCs w:val="24"/>
              </w:rPr>
              <w:t>Неприложима за публично-правни организации</w:t>
            </w:r>
            <w:r w:rsidRPr="008F5CA5">
              <w:rPr>
                <w:sz w:val="24"/>
                <w:szCs w:val="24"/>
              </w:rPr>
              <w:t>)</w:t>
            </w:r>
            <w:r>
              <w:rPr>
                <w:sz w:val="24"/>
                <w:szCs w:val="24"/>
              </w:rPr>
              <w:t xml:space="preserve"> – </w:t>
            </w:r>
            <w:r w:rsidR="009D16E3">
              <w:rPr>
                <w:sz w:val="24"/>
                <w:szCs w:val="24"/>
              </w:rPr>
              <w:t>Приложение № 14;</w:t>
            </w:r>
            <w:r>
              <w:rPr>
                <w:sz w:val="24"/>
                <w:szCs w:val="24"/>
              </w:rPr>
              <w:t xml:space="preserve">  </w:t>
            </w:r>
          </w:p>
          <w:p w14:paraId="472F3C72" w14:textId="262BE024" w:rsidR="00A855D0" w:rsidRDefault="00F84DF8" w:rsidP="005D29D8">
            <w:pPr>
              <w:jc w:val="both"/>
              <w:rPr>
                <w:sz w:val="24"/>
                <w:szCs w:val="24"/>
              </w:rPr>
            </w:pPr>
            <w:r>
              <w:rPr>
                <w:sz w:val="24"/>
                <w:szCs w:val="24"/>
              </w:rPr>
              <w:t>41</w:t>
            </w:r>
            <w:r w:rsidR="00A855D0">
              <w:rPr>
                <w:sz w:val="24"/>
                <w:szCs w:val="24"/>
              </w:rPr>
              <w:t xml:space="preserve">. </w:t>
            </w:r>
            <w:r w:rsidR="00A855D0" w:rsidRPr="00A855D0">
              <w:rPr>
                <w:sz w:val="24"/>
                <w:szCs w:val="24"/>
              </w:rPr>
              <w:t>Допълнителни документи, доказващи съответствие с приоритет по критериите за оценка</w:t>
            </w:r>
            <w:r w:rsidR="00A855D0" w:rsidRPr="00A855D0">
              <w:rPr>
                <w:sz w:val="24"/>
                <w:szCs w:val="24"/>
              </w:rPr>
              <w:tab/>
            </w:r>
            <w:r w:rsidR="00A855D0">
              <w:rPr>
                <w:sz w:val="24"/>
                <w:szCs w:val="24"/>
              </w:rPr>
              <w:t xml:space="preserve"> (ако е приложимо).</w:t>
            </w:r>
          </w:p>
          <w:p w14:paraId="5ABF4FC3" w14:textId="40DA3F39" w:rsidR="00B562DE" w:rsidRPr="007D5505" w:rsidRDefault="00B562DE" w:rsidP="00CC3131">
            <w:pPr>
              <w:jc w:val="both"/>
              <w:rPr>
                <w:sz w:val="24"/>
                <w:szCs w:val="24"/>
              </w:rPr>
            </w:pPr>
          </w:p>
        </w:tc>
      </w:tr>
    </w:tbl>
    <w:p w14:paraId="01DD7A2A" w14:textId="77777777" w:rsidR="00C51B04" w:rsidRDefault="00C51B04" w:rsidP="00784529">
      <w:bookmarkStart w:id="76" w:name="_Toc445385617"/>
    </w:p>
    <w:p w14:paraId="0FB843E1" w14:textId="4B3FC373" w:rsidR="007A2ECD" w:rsidRDefault="007A2ECD" w:rsidP="007A2ECD">
      <w:pPr>
        <w:pStyle w:val="Heading2"/>
      </w:pPr>
      <w:bookmarkStart w:id="77" w:name="_Toc534292231"/>
      <w:r>
        <w:t>24.2. Специфични документи</w:t>
      </w:r>
      <w:bookmarkEnd w:id="77"/>
    </w:p>
    <w:p w14:paraId="50C68DDA" w14:textId="2345E3C5" w:rsidR="007A2ECD" w:rsidRPr="007A2ECD" w:rsidRDefault="007A2ECD" w:rsidP="007A2EC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A2ECD">
        <w:rPr>
          <w:rFonts w:ascii="Times New Roman" w:hAnsi="Times New Roman" w:cs="Times New Roman"/>
          <w:sz w:val="24"/>
          <w:szCs w:val="24"/>
        </w:rPr>
        <w:t>За дейността строителство, реконструкция и/или рехабилитация на нови и съществуващи улици и тротоари и съоръженията и принадлежностите към тях:</w:t>
      </w:r>
    </w:p>
    <w:p w14:paraId="5A9FA2BB" w14:textId="384C1BD9" w:rsidR="007A2ECD" w:rsidRPr="00723F8A" w:rsidRDefault="007A2ECD" w:rsidP="00723F8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A2ECD">
        <w:rPr>
          <w:rFonts w:ascii="Times New Roman" w:hAnsi="Times New Roman" w:cs="Times New Roman"/>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административния договор. Представя</w:t>
      </w:r>
      <w:r w:rsidR="00723F8A">
        <w:rPr>
          <w:rFonts w:ascii="Times New Roman" w:hAnsi="Times New Roman" w:cs="Times New Roman"/>
          <w:sz w:val="24"/>
          <w:szCs w:val="24"/>
        </w:rPr>
        <w:t xml:space="preserve"> се във формат „pdf“ или „jpg”.</w:t>
      </w:r>
    </w:p>
    <w:p w14:paraId="45E8CE65" w14:textId="29F8B863" w:rsidR="007A2ECD" w:rsidRDefault="007A2ECD" w:rsidP="007A2ECD">
      <w:pPr>
        <w:pStyle w:val="Heading2"/>
      </w:pPr>
      <w:bookmarkStart w:id="78" w:name="_Toc534292232"/>
      <w:r>
        <w:t>24.3.  Документи, доказващи съответствие с критериите за подбор на проекти</w:t>
      </w:r>
      <w:bookmarkEnd w:id="78"/>
    </w:p>
    <w:p w14:paraId="0F42CFB0" w14:textId="77777777" w:rsidR="007A2ECD" w:rsidRPr="007A2ECD"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A2ECD">
        <w:rPr>
          <w:rFonts w:ascii="Times New Roman" w:hAnsi="Times New Roman" w:cs="Times New Roman"/>
          <w:sz w:val="24"/>
          <w:szCs w:val="24"/>
        </w:rPr>
        <w:t>1.</w:t>
      </w:r>
      <w:r w:rsidRPr="007A2ECD">
        <w:rPr>
          <w:rFonts w:ascii="Times New Roman" w:hAnsi="Times New Roman" w:cs="Times New Roman"/>
          <w:sz w:val="24"/>
          <w:szCs w:val="24"/>
        </w:rPr>
        <w:tab/>
        <w:t>Справка за населението в населеното място/места, разположени на територията на община Поморие (по последни данни на Националния статистически институт) където ще се изпълняват инвестициите по проекта, в съответствие с критерий за подбор 3“Брой население, което ще се възползва от подобрените основни услуги, и обхвата на  териториално въздействие”. Представя се във формат „pdf“.</w:t>
      </w:r>
    </w:p>
    <w:p w14:paraId="112641FF" w14:textId="7BCCA424" w:rsidR="007A2ECD" w:rsidRPr="000E23D5"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2.</w:t>
      </w:r>
      <w:r w:rsidRPr="000E23D5">
        <w:rPr>
          <w:rFonts w:ascii="Times New Roman" w:hAnsi="Times New Roman" w:cs="Times New Roman"/>
          <w:sz w:val="24"/>
          <w:szCs w:val="24"/>
        </w:rPr>
        <w:tab/>
        <w:t xml:space="preserve">Справка за съществуващия и нает от кандидата персонал към края на предходната спрямо кандидатстването календарна година и за последния отчетен период за фирми/организации, създадени през текущата стопанска година (ако е приложимо). Справката се представя, когато кандидатът заявява съответствие с критерий за подбор 4 </w:t>
      </w:r>
      <w:r w:rsidRPr="000E23D5">
        <w:rPr>
          <w:rFonts w:ascii="Times New Roman" w:hAnsi="Times New Roman" w:cs="Times New Roman"/>
          <w:sz w:val="24"/>
          <w:szCs w:val="24"/>
        </w:rPr>
        <w:lastRenderedPageBreak/>
        <w:t xml:space="preserve">“Проекти, създаващи работни места при изпълнение на допустимите дейности”. Представя се във формат „pdf“. (неприложимо за общини). Общините </w:t>
      </w:r>
      <w:r w:rsidR="000A1692">
        <w:rPr>
          <w:rFonts w:ascii="Times New Roman" w:hAnsi="Times New Roman" w:cs="Times New Roman"/>
          <w:sz w:val="24"/>
          <w:szCs w:val="24"/>
        </w:rPr>
        <w:t>описват</w:t>
      </w:r>
      <w:r w:rsidRPr="000E23D5">
        <w:rPr>
          <w:rFonts w:ascii="Times New Roman" w:hAnsi="Times New Roman" w:cs="Times New Roman"/>
          <w:sz w:val="24"/>
          <w:szCs w:val="24"/>
        </w:rPr>
        <w:t xml:space="preserve"> съответствие с данните, въведени в Формуля</w:t>
      </w:r>
      <w:r w:rsidR="00023EC6">
        <w:rPr>
          <w:rFonts w:ascii="Times New Roman" w:hAnsi="Times New Roman" w:cs="Times New Roman"/>
          <w:sz w:val="24"/>
          <w:szCs w:val="24"/>
        </w:rPr>
        <w:t>ра за мониторинг (Приложение № 4</w:t>
      </w:r>
      <w:r w:rsidRPr="000E23D5">
        <w:rPr>
          <w:rFonts w:ascii="Times New Roman" w:hAnsi="Times New Roman" w:cs="Times New Roman"/>
          <w:sz w:val="24"/>
          <w:szCs w:val="24"/>
        </w:rPr>
        <w:t>, т.3).</w:t>
      </w:r>
    </w:p>
    <w:p w14:paraId="19EA7E2B" w14:textId="4CED3A49" w:rsidR="007A2ECD" w:rsidRPr="000E23D5"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3.</w:t>
      </w:r>
      <w:r w:rsidRPr="000E23D5">
        <w:rPr>
          <w:rFonts w:ascii="Times New Roman" w:hAnsi="Times New Roman" w:cs="Times New Roman"/>
          <w:sz w:val="24"/>
          <w:szCs w:val="24"/>
        </w:rPr>
        <w:tab/>
        <w:t xml:space="preserve">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 случай че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(неприложимо за общини). Общините </w:t>
      </w:r>
      <w:r w:rsidR="000A1692">
        <w:rPr>
          <w:rFonts w:ascii="Times New Roman" w:hAnsi="Times New Roman" w:cs="Times New Roman"/>
          <w:sz w:val="24"/>
          <w:szCs w:val="24"/>
        </w:rPr>
        <w:t>описват</w:t>
      </w:r>
      <w:r w:rsidRPr="000E23D5">
        <w:rPr>
          <w:rFonts w:ascii="Times New Roman" w:hAnsi="Times New Roman" w:cs="Times New Roman"/>
          <w:sz w:val="24"/>
          <w:szCs w:val="24"/>
        </w:rPr>
        <w:t xml:space="preserve"> съответствие с данните, въведени в Формуля</w:t>
      </w:r>
      <w:r w:rsidR="00023EC6">
        <w:rPr>
          <w:rFonts w:ascii="Times New Roman" w:hAnsi="Times New Roman" w:cs="Times New Roman"/>
          <w:sz w:val="24"/>
          <w:szCs w:val="24"/>
        </w:rPr>
        <w:t>ра за мониторинг (Приложение № 4</w:t>
      </w:r>
      <w:r w:rsidRPr="000E23D5">
        <w:rPr>
          <w:rFonts w:ascii="Times New Roman" w:hAnsi="Times New Roman" w:cs="Times New Roman"/>
          <w:sz w:val="24"/>
          <w:szCs w:val="24"/>
        </w:rPr>
        <w:t>, т.3).</w:t>
      </w:r>
    </w:p>
    <w:p w14:paraId="6E6F40B7" w14:textId="6C5B32D5" w:rsidR="0089690E" w:rsidRPr="000E23D5" w:rsidRDefault="000E23D5" w:rsidP="0089690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 xml:space="preserve">4. </w:t>
      </w:r>
      <w:r w:rsidR="0089690E" w:rsidRPr="000E23D5">
        <w:rPr>
          <w:rFonts w:ascii="Times New Roman" w:hAnsi="Times New Roman" w:cs="Times New Roman"/>
          <w:sz w:val="24"/>
          <w:szCs w:val="24"/>
        </w:rPr>
        <w:t>Анализ или обосновка, удостоверяващи подобряване на околната среда и постигащи екологичен ефект и въздействие, изготвен и съгласуван от правоспособно лице с ком</w:t>
      </w:r>
      <w:r w:rsidRPr="000E23D5">
        <w:rPr>
          <w:rFonts w:ascii="Times New Roman" w:hAnsi="Times New Roman" w:cs="Times New Roman"/>
          <w:sz w:val="24"/>
          <w:szCs w:val="24"/>
        </w:rPr>
        <w:t>петентност в съответната област. Документът се представя, когато кандидатът заявява съответствие с критерий за подбор 6 „Проекти, осигуряващи подобряване на околната среда и постигащи екологичен ефект и въздействие</w:t>
      </w:r>
      <w:r w:rsidR="00FB5A03">
        <w:rPr>
          <w:rFonts w:ascii="Times New Roman" w:hAnsi="Times New Roman" w:cs="Times New Roman"/>
          <w:sz w:val="24"/>
          <w:szCs w:val="24"/>
        </w:rPr>
        <w:t xml:space="preserve">. Представя се във формат „pdf“ </w:t>
      </w:r>
      <w:r w:rsidR="00FB5A03" w:rsidRPr="00FB5A03">
        <w:rPr>
          <w:rFonts w:ascii="Times New Roman" w:hAnsi="Times New Roman" w:cs="Times New Roman"/>
          <w:b/>
          <w:sz w:val="24"/>
          <w:szCs w:val="24"/>
          <w:u w:val="single"/>
        </w:rPr>
        <w:t>или</w:t>
      </w:r>
      <w:r w:rsidR="00FB5A03">
        <w:rPr>
          <w:rFonts w:ascii="Times New Roman" w:hAnsi="Times New Roman" w:cs="Times New Roman"/>
          <w:sz w:val="24"/>
          <w:szCs w:val="24"/>
        </w:rPr>
        <w:t xml:space="preserve"> </w:t>
      </w:r>
      <w:r w:rsidR="0089690E" w:rsidRPr="000E23D5">
        <w:rPr>
          <w:rFonts w:ascii="Times New Roman" w:hAnsi="Times New Roman" w:cs="Times New Roman"/>
          <w:sz w:val="24"/>
          <w:szCs w:val="24"/>
        </w:rPr>
        <w:t xml:space="preserve">Сертификат, удостоверение, становище и др., доказващи, че с проекта се прилага интегриран подход към околната среда чрез съхраняване и опазване на компонентите на околната среда и насърчаване на ресурсната ефективност, вкл. дейности за превенция и управление на риска, издадени от съответна институция или правоспособно лице.    </w:t>
      </w:r>
      <w:r w:rsidRPr="000E23D5">
        <w:rPr>
          <w:rFonts w:ascii="Times New Roman" w:hAnsi="Times New Roman" w:cs="Times New Roman"/>
          <w:sz w:val="24"/>
          <w:szCs w:val="24"/>
        </w:rPr>
        <w:t>Документът се представя, когато кандидатът заявява съответствие с критерий за подбор 6 „Проекти, осигуряващи подобряване на околната среда и постигащи екологичен ефект и въздействие. Представя се във формат „pdf“.</w:t>
      </w:r>
    </w:p>
    <w:p w14:paraId="261C5BF7" w14:textId="433BC67E" w:rsidR="0006081F" w:rsidRPr="007713C1" w:rsidRDefault="00CD534E" w:rsidP="003A2D4B">
      <w:pPr>
        <w:pStyle w:val="Heading1"/>
      </w:pPr>
      <w:bookmarkStart w:id="79" w:name="_Toc534292233"/>
      <w:r>
        <w:t>2</w:t>
      </w:r>
      <w:r w:rsidR="00883A6D">
        <w:t>5</w:t>
      </w:r>
      <w:r w:rsidR="0006081F" w:rsidRPr="007713C1">
        <w:t xml:space="preserve">. </w:t>
      </w:r>
      <w:r w:rsidR="00466283">
        <w:t>Краен срок</w:t>
      </w:r>
      <w:r w:rsidR="0006081F" w:rsidRPr="007713C1">
        <w:t xml:space="preserve"> за подаване н</w:t>
      </w:r>
      <w:r w:rsidR="00D5601D" w:rsidRPr="007713C1">
        <w:t>а проектните предложения</w:t>
      </w:r>
      <w:r w:rsidR="0006081F" w:rsidRPr="007713C1">
        <w:t>:</w:t>
      </w:r>
      <w:bookmarkEnd w:id="76"/>
      <w:bookmarkEnd w:id="79"/>
    </w:p>
    <w:p w14:paraId="239B0363" w14:textId="0CDDB31A" w:rsidR="00883A6D" w:rsidRPr="00BB234C" w:rsidRDefault="00883A6D"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BB234C">
        <w:rPr>
          <w:rFonts w:ascii="Times New Roman" w:hAnsi="Times New Roman" w:cs="Times New Roman"/>
          <w:sz w:val="24"/>
          <w:szCs w:val="24"/>
        </w:rPr>
        <w:t>Производството по предоставяне на безвъзмездна финансова помощ чрез подбор започва в деня на публикуването на обява за откриване на съответната процедурата чрез подбор в ИСУН.</w:t>
      </w:r>
    </w:p>
    <w:p w14:paraId="61F7FC83" w14:textId="4AFD65BA" w:rsidR="00435AAD" w:rsidRPr="00357E43" w:rsidRDefault="00435AAD" w:rsidP="00435AAD">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357E43">
        <w:rPr>
          <w:rFonts w:ascii="Times New Roman" w:hAnsi="Times New Roman" w:cs="Times New Roman"/>
          <w:b/>
          <w:sz w:val="24"/>
          <w:szCs w:val="24"/>
        </w:rPr>
        <w:t>Втори краен срок за подаван</w:t>
      </w:r>
      <w:r w:rsidR="003F5080">
        <w:rPr>
          <w:rFonts w:ascii="Times New Roman" w:hAnsi="Times New Roman" w:cs="Times New Roman"/>
          <w:b/>
          <w:sz w:val="24"/>
          <w:szCs w:val="24"/>
        </w:rPr>
        <w:t>е на проектни</w:t>
      </w:r>
      <w:r w:rsidR="00DA5949">
        <w:rPr>
          <w:rFonts w:ascii="Times New Roman" w:hAnsi="Times New Roman" w:cs="Times New Roman"/>
          <w:b/>
          <w:sz w:val="24"/>
          <w:szCs w:val="24"/>
        </w:rPr>
        <w:t>те предложения е 26</w:t>
      </w:r>
      <w:r w:rsidR="00794B5F" w:rsidRPr="00357E43">
        <w:rPr>
          <w:rFonts w:ascii="Times New Roman" w:hAnsi="Times New Roman" w:cs="Times New Roman"/>
          <w:b/>
          <w:sz w:val="24"/>
          <w:szCs w:val="24"/>
        </w:rPr>
        <w:t>.0</w:t>
      </w:r>
      <w:r w:rsidR="00DA5949">
        <w:rPr>
          <w:rFonts w:ascii="Times New Roman" w:hAnsi="Times New Roman" w:cs="Times New Roman"/>
          <w:b/>
          <w:sz w:val="24"/>
          <w:szCs w:val="24"/>
        </w:rPr>
        <w:t>9</w:t>
      </w:r>
      <w:r w:rsidR="00357E43" w:rsidRPr="00357E43">
        <w:rPr>
          <w:rFonts w:ascii="Times New Roman" w:hAnsi="Times New Roman" w:cs="Times New Roman"/>
          <w:b/>
          <w:sz w:val="24"/>
          <w:szCs w:val="24"/>
        </w:rPr>
        <w:t>.2022</w:t>
      </w:r>
      <w:r w:rsidRPr="00357E43">
        <w:rPr>
          <w:rFonts w:ascii="Times New Roman" w:hAnsi="Times New Roman" w:cs="Times New Roman"/>
          <w:b/>
          <w:sz w:val="24"/>
          <w:szCs w:val="24"/>
        </w:rPr>
        <w:t xml:space="preserve"> г. 16:00 часа.</w:t>
      </w:r>
    </w:p>
    <w:p w14:paraId="16827223" w14:textId="72F41CE5" w:rsidR="00435AAD" w:rsidRPr="00357E43" w:rsidRDefault="00435AAD"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sz w:val="24"/>
          <w:szCs w:val="24"/>
        </w:rPr>
      </w:pPr>
      <w:r w:rsidRPr="00357E43">
        <w:rPr>
          <w:rFonts w:ascii="Times New Roman" w:hAnsi="Times New Roman" w:cs="Times New Roman"/>
          <w:sz w:val="24"/>
          <w:szCs w:val="24"/>
        </w:rPr>
        <w:t>Всяко проектно предложение, което е подадено след крайния срок, ще бъде отхвърлено и няма да бъде разглеждано по настоящата покана.</w:t>
      </w:r>
    </w:p>
    <w:p w14:paraId="2B3B4F01" w14:textId="25E08C13" w:rsidR="00A26C7A" w:rsidRPr="00F861AA" w:rsidRDefault="00A26C7A"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357E43">
        <w:rPr>
          <w:rFonts w:ascii="Times New Roman" w:hAnsi="Times New Roman" w:cs="Times New Roman"/>
          <w:b/>
          <w:sz w:val="24"/>
          <w:szCs w:val="24"/>
        </w:rPr>
        <w:t>Трети краен срок за подаване на проектните предложения е</w:t>
      </w:r>
      <w:r w:rsidR="00357E43" w:rsidRPr="00357E43">
        <w:rPr>
          <w:rFonts w:ascii="Times New Roman" w:hAnsi="Times New Roman" w:cs="Times New Roman"/>
          <w:b/>
          <w:sz w:val="24"/>
          <w:szCs w:val="24"/>
        </w:rPr>
        <w:t xml:space="preserve"> 16.12.2022</w:t>
      </w:r>
      <w:r w:rsidRPr="00357E43">
        <w:rPr>
          <w:rFonts w:ascii="Times New Roman" w:hAnsi="Times New Roman" w:cs="Times New Roman"/>
          <w:b/>
          <w:sz w:val="24"/>
          <w:szCs w:val="24"/>
        </w:rPr>
        <w:t xml:space="preserve"> г. 16:00 часа.</w:t>
      </w:r>
    </w:p>
    <w:p w14:paraId="6F0E787D" w14:textId="2A4CE111" w:rsidR="0090756F" w:rsidRPr="0090756F" w:rsidRDefault="0090756F" w:rsidP="0090756F">
      <w:pPr>
        <w:pStyle w:val="Heading1"/>
      </w:pPr>
      <w:bookmarkStart w:id="80" w:name="_Toc534292234"/>
      <w:bookmarkStart w:id="81" w:name="_Toc445385619"/>
      <w:r>
        <w:t>2</w:t>
      </w:r>
      <w:r w:rsidR="00883A6D">
        <w:t>6</w:t>
      </w:r>
      <w:r w:rsidRPr="0090756F">
        <w:t>. Адрес за подаване на проектните предложения</w:t>
      </w:r>
      <w:bookmarkEnd w:id="80"/>
    </w:p>
    <w:p w14:paraId="193143E2" w14:textId="1DFF1AE5" w:rsidR="0090756F" w:rsidRPr="00E568E5" w:rsidRDefault="0090756F" w:rsidP="00BB234C">
      <w:pPr>
        <w:pBdr>
          <w:top w:val="single" w:sz="4" w:space="1" w:color="auto"/>
          <w:left w:val="single" w:sz="4" w:space="0" w:color="auto"/>
          <w:bottom w:val="single" w:sz="4" w:space="1" w:color="auto"/>
          <w:right w:val="single" w:sz="4" w:space="4" w:color="auto"/>
        </w:pBdr>
        <w:rPr>
          <w:sz w:val="24"/>
          <w:szCs w:val="24"/>
        </w:rPr>
      </w:pPr>
      <w:r w:rsidRPr="00E568E5">
        <w:rPr>
          <w:rFonts w:ascii="Times New Roman" w:hAnsi="Times New Roman" w:cs="Times New Roman"/>
          <w:sz w:val="24"/>
          <w:szCs w:val="24"/>
        </w:rPr>
        <w:t xml:space="preserve">Проектните предложения по настоящата процедура се подават по изцяло електронен път чрез ИСУН 2020  на следния интернет адрес: </w:t>
      </w:r>
      <w:hyperlink r:id="rId27" w:history="1">
        <w:r w:rsidRPr="00E568E5">
          <w:rPr>
            <w:rStyle w:val="Hyperlink"/>
            <w:rFonts w:ascii="Times New Roman" w:hAnsi="Times New Roman" w:cs="Times New Roman"/>
            <w:sz w:val="24"/>
            <w:szCs w:val="24"/>
          </w:rPr>
          <w:t>https://eumis2020.government.bg.</w:t>
        </w:r>
      </w:hyperlink>
    </w:p>
    <w:p w14:paraId="59AFC6B0" w14:textId="165F5983" w:rsidR="00F63260" w:rsidRDefault="00EE474B" w:rsidP="003A2D4B">
      <w:pPr>
        <w:pStyle w:val="Heading1"/>
      </w:pPr>
      <w:bookmarkStart w:id="82" w:name="_Toc534292235"/>
      <w:r>
        <w:lastRenderedPageBreak/>
        <w:t>2</w:t>
      </w:r>
      <w:r w:rsidR="00883A6D">
        <w:t>7.</w:t>
      </w:r>
      <w:r w:rsidR="00C57CC3" w:rsidRPr="007713C1">
        <w:t xml:space="preserve"> </w:t>
      </w:r>
      <w:r w:rsidR="00466283">
        <w:t>Допълнителна информация</w:t>
      </w:r>
      <w:r w:rsidR="00F63260" w:rsidRPr="007713C1">
        <w:t>:</w:t>
      </w:r>
      <w:bookmarkEnd w:id="81"/>
      <w:bookmarkEnd w:id="82"/>
    </w:p>
    <w:p w14:paraId="6A104DC2" w14:textId="77777777" w:rsidR="00504B69" w:rsidRPr="00504B69" w:rsidRDefault="00504B69"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504B69">
        <w:rPr>
          <w:rFonts w:ascii="Times New Roman" w:hAnsi="Times New Roman" w:cs="Times New Roman"/>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14:paraId="2904E411"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3ED616B" w14:textId="3BAE2710" w:rsidR="00504B69"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1. </w:t>
      </w:r>
      <w:r w:rsidR="00504B69" w:rsidRPr="00504B69">
        <w:rPr>
          <w:rFonts w:ascii="Times New Roman" w:hAnsi="Times New Roman" w:cs="Times New Roman"/>
          <w:sz w:val="24"/>
          <w:szCs w:val="24"/>
        </w:rPr>
        <w:t>Необходима информация за издаване на уникален регистрационен ном</w:t>
      </w:r>
      <w:r w:rsidR="00504B69">
        <w:rPr>
          <w:rFonts w:ascii="Times New Roman" w:hAnsi="Times New Roman" w:cs="Times New Roman"/>
          <w:sz w:val="24"/>
          <w:szCs w:val="24"/>
        </w:rPr>
        <w:t>ер от Държавен фонд „Земеделие“:</w:t>
      </w:r>
    </w:p>
    <w:p w14:paraId="6EB0DABA"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6E2BC2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наименование на проектното предложение; </w:t>
      </w:r>
    </w:p>
    <w:p w14:paraId="235917B6"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данни за кандидата: ЕИК, ЕГН, банкова сметка, правно-организационна форма на лицето, пол на собственика/управителя, възраст на собственика/управителя, брой на работните места, които ще бъдат осигурени чрез осъществяването на проекта, сектор на основната дейност по Класификацията на икономическите дейности (КИД) на юридическото лице; </w:t>
      </w:r>
    </w:p>
    <w:p w14:paraId="2BEF580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място на извършване на инвестицията (област, община, УПИ, имот, парцел, отдел, подотдел и др.); </w:t>
      </w:r>
    </w:p>
    <w:p w14:paraId="181156F2"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декларативна част; </w:t>
      </w:r>
    </w:p>
    <w:p w14:paraId="6C413730"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разходите, за които се кандидатства; </w:t>
      </w:r>
    </w:p>
    <w:p w14:paraId="1CEF0BE6"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субсидията, за която се кандидатства; </w:t>
      </w:r>
    </w:p>
    <w:p w14:paraId="19A839E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разходите и субсидията на междинното плащане, в случай че се кандидатства за такова; </w:t>
      </w:r>
    </w:p>
    <w:p w14:paraId="65C2AB29"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сектор на дейността, за която се кандидатства по КИД; </w:t>
      </w:r>
    </w:p>
    <w:p w14:paraId="782D25F9"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код на референтен разход, за който се кандидатства.</w:t>
      </w:r>
    </w:p>
    <w:p w14:paraId="7716B8BD"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ЕГН;</w:t>
      </w:r>
    </w:p>
    <w:p w14:paraId="3DBA3175"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ЛНЧ (Личен номер на чужденец); </w:t>
      </w:r>
    </w:p>
    <w:p w14:paraId="2B0826A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Документ за самоличност (№, дата на издаване, валидност); </w:t>
      </w:r>
    </w:p>
    <w:p w14:paraId="72BFA3A4"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Данни за представляващия юридическо лице, вкл. ЕГН за представляващия (когато е приложимо); </w:t>
      </w:r>
    </w:p>
    <w:p w14:paraId="3CF5B5A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Седалище (когато е приложимо); </w:t>
      </w:r>
    </w:p>
    <w:p w14:paraId="394690E0"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Адрес по местоживеене (когато е приложимо); </w:t>
      </w:r>
    </w:p>
    <w:p w14:paraId="6330A69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Адрес за кореспонденция; </w:t>
      </w:r>
    </w:p>
    <w:p w14:paraId="531A2A27" w14:textId="4208ED34"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УРН (</w:t>
      </w:r>
      <w:r>
        <w:rPr>
          <w:rFonts w:ascii="Times New Roman" w:hAnsi="Times New Roman" w:cs="Times New Roman"/>
          <w:sz w:val="24"/>
          <w:szCs w:val="24"/>
        </w:rPr>
        <w:t>в случай, че е издадено такова);</w:t>
      </w:r>
    </w:p>
    <w:p w14:paraId="2FBEB3EA"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B80AB85" w14:textId="5FF2036E"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lang w:val="en-US"/>
        </w:rPr>
        <w:t>2.</w:t>
      </w:r>
      <w:r w:rsidR="007B7022">
        <w:rPr>
          <w:rFonts w:ascii="Times New Roman" w:hAnsi="Times New Roman" w:cs="Times New Roman"/>
          <w:sz w:val="24"/>
          <w:szCs w:val="24"/>
        </w:rPr>
        <w:t xml:space="preserve"> </w:t>
      </w:r>
      <w:r w:rsidR="007B7022" w:rsidRPr="007B7022">
        <w:rPr>
          <w:rFonts w:ascii="Times New Roman" w:hAnsi="Times New Roman" w:cs="Times New Roman"/>
          <w:sz w:val="24"/>
          <w:szCs w:val="24"/>
        </w:rPr>
        <w:t>Съответствие с критерий за оценка 3 „Брой население, което ще се възползва от подобрените основни услуги и обхвата на териториално въздействие“</w:t>
      </w:r>
      <w:r w:rsidR="00543AF6">
        <w:rPr>
          <w:rFonts w:ascii="Times New Roman" w:hAnsi="Times New Roman" w:cs="Times New Roman"/>
          <w:sz w:val="24"/>
          <w:szCs w:val="24"/>
        </w:rPr>
        <w:t>.</w:t>
      </w:r>
    </w:p>
    <w:p w14:paraId="007DEFB9"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516D7264" w14:textId="069D1E6C"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r w:rsidRPr="007B7022">
        <w:t xml:space="preserve"> </w:t>
      </w:r>
      <w:r w:rsidRPr="007B7022">
        <w:rPr>
          <w:rFonts w:ascii="Times New Roman" w:hAnsi="Times New Roman" w:cs="Times New Roman"/>
          <w:sz w:val="24"/>
          <w:szCs w:val="24"/>
        </w:rPr>
        <w:t>Съответствие с критерий за оценка 1: "Проекти,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sidR="00543AF6">
        <w:rPr>
          <w:rFonts w:ascii="Times New Roman" w:hAnsi="Times New Roman" w:cs="Times New Roman"/>
          <w:sz w:val="24"/>
          <w:szCs w:val="24"/>
        </w:rPr>
        <w:t>.</w:t>
      </w:r>
    </w:p>
    <w:p w14:paraId="47FD55D8"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961AE3F" w14:textId="6AD2CE9C" w:rsidR="007B7022" w:rsidRPr="000B172D"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en-US"/>
        </w:rPr>
      </w:pPr>
      <w:r>
        <w:rPr>
          <w:rFonts w:ascii="Times New Roman" w:hAnsi="Times New Roman" w:cs="Times New Roman"/>
          <w:sz w:val="24"/>
          <w:szCs w:val="24"/>
        </w:rPr>
        <w:t>4.</w:t>
      </w:r>
      <w:r w:rsidRPr="007B7022">
        <w:t xml:space="preserve"> </w:t>
      </w:r>
      <w:r w:rsidRPr="007B7022">
        <w:rPr>
          <w:rFonts w:ascii="Times New Roman" w:hAnsi="Times New Roman" w:cs="Times New Roman"/>
          <w:sz w:val="24"/>
          <w:szCs w:val="24"/>
        </w:rPr>
        <w:t>Съответствие с критерий за оценка 7 „Проектът предвижда изграждане на достъпна инфраструктура за хора в неравностойно положение“</w:t>
      </w:r>
      <w:r w:rsidR="00543AF6">
        <w:rPr>
          <w:rFonts w:ascii="Times New Roman" w:hAnsi="Times New Roman" w:cs="Times New Roman"/>
          <w:sz w:val="24"/>
          <w:szCs w:val="24"/>
        </w:rPr>
        <w:t>.</w:t>
      </w:r>
    </w:p>
    <w:p w14:paraId="44A65E65"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3D2794FD" w14:textId="0DAB8388" w:rsidR="007B7022" w:rsidRPr="006D7E17"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7B7022">
        <w:rPr>
          <w:rFonts w:ascii="Times New Roman" w:hAnsi="Times New Roman" w:cs="Times New Roman"/>
          <w:sz w:val="24"/>
          <w:szCs w:val="24"/>
        </w:rPr>
        <w:t>В случай на кандидат община Поморие по дейност 4, подточки А), Б) и В)</w:t>
      </w:r>
      <w:r>
        <w:rPr>
          <w:rFonts w:ascii="Times New Roman" w:hAnsi="Times New Roman" w:cs="Times New Roman"/>
          <w:sz w:val="24"/>
          <w:szCs w:val="24"/>
        </w:rPr>
        <w:t xml:space="preserve">: </w:t>
      </w:r>
      <w:r w:rsidRPr="007B7022">
        <w:rPr>
          <w:rFonts w:ascii="Times New Roman" w:hAnsi="Times New Roman" w:cs="Times New Roman"/>
          <w:sz w:val="24"/>
          <w:szCs w:val="24"/>
        </w:rPr>
        <w:t>Община Поморие следва да представи обосновка, от която да е видно, че предвидените за изпълнение дейности са с неикономически характер.</w:t>
      </w:r>
    </w:p>
    <w:p w14:paraId="281F4026" w14:textId="77777777" w:rsidR="00913C01" w:rsidRDefault="00913C01" w:rsidP="008C5B0E">
      <w:pPr>
        <w:pStyle w:val="Heading2"/>
      </w:pPr>
      <w:bookmarkStart w:id="83" w:name="_Toc445385630"/>
      <w:bookmarkStart w:id="84" w:name="_Toc534292236"/>
    </w:p>
    <w:p w14:paraId="599090FA" w14:textId="1BA3D258" w:rsidR="00F63260" w:rsidRPr="007713C1" w:rsidRDefault="003B2B99" w:rsidP="008C5B0E">
      <w:pPr>
        <w:pStyle w:val="Heading2"/>
      </w:pPr>
      <w:r>
        <w:t>2</w:t>
      </w:r>
      <w:r w:rsidR="00883A6D">
        <w:t>7</w:t>
      </w:r>
      <w:r w:rsidR="00F059A2" w:rsidRPr="007713C1">
        <w:t>.</w:t>
      </w:r>
      <w:r w:rsidR="008C5B0E">
        <w:t>1</w:t>
      </w:r>
      <w:r w:rsidR="00F059A2" w:rsidRPr="007713C1">
        <w:t xml:space="preserve">. Допълнителни </w:t>
      </w:r>
      <w:r w:rsidR="00B71A31" w:rsidRPr="007713C1">
        <w:t>въпроси и разяснения във връзка с Условията</w:t>
      </w:r>
      <w:r w:rsidR="00F059A2" w:rsidRPr="007713C1">
        <w:t xml:space="preserve"> за кандидатстване</w:t>
      </w:r>
      <w:bookmarkEnd w:id="83"/>
      <w:bookmarkEnd w:id="84"/>
    </w:p>
    <w:tbl>
      <w:tblPr>
        <w:tblStyle w:val="TableGrid"/>
        <w:tblW w:w="0" w:type="auto"/>
        <w:tblInd w:w="-5" w:type="dxa"/>
        <w:tblLook w:val="04A0" w:firstRow="1" w:lastRow="0" w:firstColumn="1" w:lastColumn="0" w:noHBand="0" w:noVBand="1"/>
      </w:tblPr>
      <w:tblGrid>
        <w:gridCol w:w="9351"/>
      </w:tblGrid>
      <w:tr w:rsidR="00F059A2" w:rsidRPr="007713C1" w14:paraId="6994AB9C" w14:textId="77777777" w:rsidTr="00D80BFC">
        <w:tc>
          <w:tcPr>
            <w:tcW w:w="9351" w:type="dxa"/>
          </w:tcPr>
          <w:p w14:paraId="1A16A9CE" w14:textId="27B5A43A" w:rsidR="00F059A2" w:rsidRPr="00C515C9" w:rsidRDefault="003F5080" w:rsidP="00B71A31">
            <w:pPr>
              <w:spacing w:before="120" w:after="120"/>
              <w:jc w:val="both"/>
              <w:rPr>
                <w:sz w:val="24"/>
                <w:szCs w:val="24"/>
              </w:rPr>
            </w:pPr>
            <w:bookmarkStart w:id="85" w:name="_Toc172021290"/>
            <w:r>
              <w:rPr>
                <w:b/>
                <w:sz w:val="24"/>
                <w:szCs w:val="24"/>
              </w:rPr>
              <w:t>В ИСУН 2020 и н</w:t>
            </w:r>
            <w:r w:rsidR="00F059A2" w:rsidRPr="007713C1">
              <w:rPr>
                <w:b/>
                <w:sz w:val="24"/>
                <w:szCs w:val="24"/>
              </w:rPr>
              <w:t>а посочения по-долу интернет адрес</w:t>
            </w:r>
            <w:r w:rsidR="00F059A2" w:rsidRPr="007713C1">
              <w:rPr>
                <w:sz w:val="24"/>
                <w:szCs w:val="24"/>
              </w:rPr>
              <w:t>, като ясно се посочва номера на поканата за набиране на предложения,</w:t>
            </w:r>
            <w:r w:rsidR="00F059A2" w:rsidRPr="007713C1" w:rsidDel="00AD7679">
              <w:rPr>
                <w:sz w:val="24"/>
                <w:szCs w:val="24"/>
              </w:rPr>
              <w:t xml:space="preserve"> </w:t>
            </w:r>
            <w:r w:rsidR="00F059A2" w:rsidRPr="007713C1">
              <w:rPr>
                <w:b/>
                <w:sz w:val="24"/>
                <w:szCs w:val="24"/>
              </w:rPr>
              <w:t>могат да се задават въпроси и да се искат допълнителни разяснения</w:t>
            </w:r>
            <w:r w:rsidR="00F059A2" w:rsidRPr="007713C1">
              <w:rPr>
                <w:sz w:val="24"/>
                <w:szCs w:val="24"/>
              </w:rPr>
              <w:t xml:space="preserve">, </w:t>
            </w:r>
            <w:r w:rsidR="00B71A31" w:rsidRPr="007713C1">
              <w:rPr>
                <w:sz w:val="24"/>
                <w:szCs w:val="24"/>
              </w:rPr>
              <w:t xml:space="preserve">в срок </w:t>
            </w:r>
            <w:r w:rsidR="00B71A31" w:rsidRPr="0083639A">
              <w:rPr>
                <w:sz w:val="24"/>
                <w:szCs w:val="24"/>
              </w:rPr>
              <w:t xml:space="preserve">до </w:t>
            </w:r>
            <w:r w:rsidR="00B71A31" w:rsidRPr="0083639A">
              <w:rPr>
                <w:i/>
                <w:sz w:val="24"/>
                <w:szCs w:val="24"/>
              </w:rPr>
              <w:t>три седмици преди изтичането на срока за кандидатстване</w:t>
            </w:r>
            <w:r w:rsidR="00B71A31" w:rsidRPr="0083639A">
              <w:rPr>
                <w:sz w:val="24"/>
                <w:szCs w:val="24"/>
              </w:rPr>
              <w:t>.</w:t>
            </w:r>
            <w:r w:rsidR="00F059A2" w:rsidRPr="0083639A">
              <w:rPr>
                <w:sz w:val="24"/>
                <w:szCs w:val="24"/>
              </w:rPr>
              <w:t xml:space="preserve"> /посочва се точна </w:t>
            </w:r>
            <w:r w:rsidR="00F059A2" w:rsidRPr="00C515C9">
              <w:rPr>
                <w:sz w:val="24"/>
                <w:szCs w:val="24"/>
              </w:rPr>
              <w:t>дата/:</w:t>
            </w:r>
            <w:bookmarkEnd w:id="85"/>
            <w:r w:rsidR="00F059A2" w:rsidRPr="00C515C9">
              <w:rPr>
                <w:sz w:val="24"/>
                <w:szCs w:val="24"/>
              </w:rPr>
              <w:t xml:space="preserve"> </w:t>
            </w:r>
            <w:r w:rsidR="00A1601F">
              <w:rPr>
                <w:sz w:val="24"/>
                <w:szCs w:val="24"/>
              </w:rPr>
              <w:t>05</w:t>
            </w:r>
            <w:r w:rsidR="00C515C9" w:rsidRPr="008E5C4E">
              <w:rPr>
                <w:sz w:val="24"/>
                <w:szCs w:val="24"/>
              </w:rPr>
              <w:t>.</w:t>
            </w:r>
            <w:r w:rsidR="00A1601F">
              <w:rPr>
                <w:sz w:val="24"/>
                <w:szCs w:val="24"/>
              </w:rPr>
              <w:t>09</w:t>
            </w:r>
            <w:r w:rsidR="008E5C4E" w:rsidRPr="008E5C4E">
              <w:rPr>
                <w:sz w:val="24"/>
                <w:szCs w:val="24"/>
              </w:rPr>
              <w:t>.2022</w:t>
            </w:r>
            <w:r w:rsidR="002E2B58" w:rsidRPr="008E5C4E">
              <w:rPr>
                <w:sz w:val="24"/>
                <w:szCs w:val="24"/>
              </w:rPr>
              <w:t xml:space="preserve"> г</w:t>
            </w:r>
            <w:r w:rsidR="008821E8" w:rsidRPr="008E5C4E">
              <w:rPr>
                <w:sz w:val="24"/>
                <w:szCs w:val="24"/>
              </w:rPr>
              <w:t>.</w:t>
            </w:r>
          </w:p>
          <w:p w14:paraId="727CF549" w14:textId="77777777" w:rsidR="00B0536E" w:rsidRPr="00C515C9" w:rsidRDefault="00376288" w:rsidP="00B71A31">
            <w:pPr>
              <w:spacing w:before="120" w:after="120"/>
              <w:jc w:val="both"/>
              <w:rPr>
                <w:color w:val="0000FF"/>
                <w:sz w:val="24"/>
                <w:szCs w:val="24"/>
                <w:lang w:val="en-US"/>
              </w:rPr>
            </w:pPr>
            <w:hyperlink r:id="rId28" w:history="1">
              <w:r w:rsidR="008378DE" w:rsidRPr="00C515C9">
                <w:rPr>
                  <w:rStyle w:val="Hyperlink"/>
                  <w:sz w:val="24"/>
                  <w:szCs w:val="24"/>
                  <w:lang w:val="en-US"/>
                </w:rPr>
                <w:t>office@mig-pomorie.eu</w:t>
              </w:r>
            </w:hyperlink>
            <w:r w:rsidR="0091748E" w:rsidRPr="00C515C9">
              <w:rPr>
                <w:color w:val="0000FF"/>
              </w:rPr>
              <w:t>.</w:t>
            </w:r>
          </w:p>
          <w:p w14:paraId="3EDAED3A" w14:textId="463E9981" w:rsidR="00F059A2" w:rsidRPr="007713C1" w:rsidRDefault="00F059A2" w:rsidP="00B71A31">
            <w:pPr>
              <w:spacing w:before="120" w:after="120"/>
              <w:jc w:val="both"/>
              <w:rPr>
                <w:bCs/>
                <w:sz w:val="24"/>
                <w:szCs w:val="24"/>
              </w:rPr>
            </w:pPr>
            <w:r w:rsidRPr="00C515C9">
              <w:rPr>
                <w:bCs/>
                <w:sz w:val="24"/>
                <w:szCs w:val="24"/>
              </w:rPr>
              <w:t>Писмени разяс</w:t>
            </w:r>
            <w:r w:rsidR="00B71A31" w:rsidRPr="00C515C9">
              <w:rPr>
                <w:bCs/>
                <w:sz w:val="24"/>
                <w:szCs w:val="24"/>
              </w:rPr>
              <w:t xml:space="preserve">нения ще бъдат дадени в срок до </w:t>
            </w:r>
            <w:r w:rsidR="00B71A31" w:rsidRPr="00C515C9">
              <w:rPr>
                <w:bCs/>
                <w:i/>
                <w:sz w:val="24"/>
                <w:szCs w:val="24"/>
              </w:rPr>
              <w:t>две седмици преди изтичането на срока за кандидатстване</w:t>
            </w:r>
            <w:r w:rsidR="00B71A31" w:rsidRPr="00C515C9">
              <w:rPr>
                <w:bCs/>
                <w:sz w:val="24"/>
                <w:szCs w:val="24"/>
              </w:rPr>
              <w:t xml:space="preserve"> </w:t>
            </w:r>
            <w:r w:rsidRPr="00C515C9">
              <w:rPr>
                <w:bCs/>
                <w:sz w:val="24"/>
                <w:szCs w:val="24"/>
              </w:rPr>
              <w:t>/посочва се точна дата/</w:t>
            </w:r>
            <w:r w:rsidR="007943E2" w:rsidRPr="00C515C9">
              <w:rPr>
                <w:bCs/>
                <w:sz w:val="24"/>
                <w:szCs w:val="24"/>
              </w:rPr>
              <w:t xml:space="preserve">: </w:t>
            </w:r>
            <w:r w:rsidR="00A1601F">
              <w:rPr>
                <w:bCs/>
                <w:sz w:val="24"/>
                <w:szCs w:val="24"/>
              </w:rPr>
              <w:t>12.09</w:t>
            </w:r>
            <w:bookmarkStart w:id="86" w:name="_GoBack"/>
            <w:bookmarkEnd w:id="86"/>
            <w:r w:rsidR="003F5080" w:rsidRPr="003F5080">
              <w:rPr>
                <w:bCs/>
                <w:sz w:val="24"/>
                <w:szCs w:val="24"/>
              </w:rPr>
              <w:t>.2022 г.</w:t>
            </w:r>
          </w:p>
          <w:p w14:paraId="6FCB9FB6" w14:textId="77777777" w:rsidR="00F059A2" w:rsidRPr="007713C1" w:rsidRDefault="00F059A2" w:rsidP="00B71A31">
            <w:pPr>
              <w:pStyle w:val="BodyText3"/>
              <w:spacing w:before="120"/>
              <w:jc w:val="both"/>
              <w:rPr>
                <w:sz w:val="24"/>
                <w:szCs w:val="24"/>
              </w:rPr>
            </w:pPr>
            <w:r w:rsidRPr="007713C1">
              <w:rPr>
                <w:sz w:val="24"/>
                <w:szCs w:val="24"/>
              </w:rPr>
              <w:t xml:space="preserve">С оглед осигуряване равнопоставено третиране на кандидатите, </w:t>
            </w:r>
            <w:r w:rsidR="008378DE">
              <w:rPr>
                <w:sz w:val="24"/>
                <w:szCs w:val="24"/>
              </w:rPr>
              <w:t>МИГ</w:t>
            </w:r>
            <w:r w:rsidRPr="007713C1">
              <w:rPr>
                <w:sz w:val="24"/>
                <w:szCs w:val="24"/>
              </w:rPr>
              <w:t xml:space="preserve"> няма да дава разяснения, които съдържат становище относно качеството на конкретно проектно предложение.</w:t>
            </w:r>
            <w:r w:rsidR="00B71A31" w:rsidRPr="007713C1">
              <w:rPr>
                <w:sz w:val="24"/>
                <w:szCs w:val="24"/>
              </w:rPr>
              <w:t xml:space="preserve"> </w:t>
            </w:r>
            <w:r w:rsidR="00B71A31" w:rsidRPr="007713C1">
              <w:rPr>
                <w:color w:val="000000"/>
                <w:sz w:val="24"/>
                <w:szCs w:val="24"/>
              </w:rPr>
              <w:t>Разяснения се дават по отношение на условията за кандидатстване и са задължителни за всички кандидати.</w:t>
            </w:r>
          </w:p>
          <w:p w14:paraId="71BAFA8E" w14:textId="780AAE3E" w:rsidR="00F059A2" w:rsidRPr="007713C1" w:rsidRDefault="00F059A2" w:rsidP="00F059A2">
            <w:pPr>
              <w:pStyle w:val="BodyText3"/>
              <w:spacing w:before="120"/>
              <w:rPr>
                <w:sz w:val="24"/>
                <w:szCs w:val="24"/>
              </w:rPr>
            </w:pPr>
            <w:r w:rsidRPr="007713C1">
              <w:rPr>
                <w:sz w:val="24"/>
                <w:szCs w:val="24"/>
              </w:rPr>
              <w:t xml:space="preserve">Въпросите и разясненията ще бъдат публикувани </w:t>
            </w:r>
            <w:r w:rsidR="003F5080">
              <w:rPr>
                <w:sz w:val="24"/>
                <w:szCs w:val="24"/>
              </w:rPr>
              <w:t xml:space="preserve">в ИСУН и </w:t>
            </w:r>
            <w:r w:rsidRPr="007713C1">
              <w:rPr>
                <w:sz w:val="24"/>
                <w:szCs w:val="24"/>
              </w:rPr>
              <w:t>на следн</w:t>
            </w:r>
            <w:r w:rsidR="001427F5">
              <w:rPr>
                <w:sz w:val="24"/>
                <w:szCs w:val="24"/>
              </w:rPr>
              <w:t>ата</w:t>
            </w:r>
            <w:r w:rsidRPr="007713C1">
              <w:rPr>
                <w:sz w:val="24"/>
                <w:szCs w:val="24"/>
              </w:rPr>
              <w:t xml:space="preserve"> интернет-страниц</w:t>
            </w:r>
            <w:r w:rsidR="001427F5">
              <w:rPr>
                <w:sz w:val="24"/>
                <w:szCs w:val="24"/>
              </w:rPr>
              <w:t>а</w:t>
            </w:r>
            <w:r w:rsidRPr="007713C1">
              <w:rPr>
                <w:sz w:val="24"/>
                <w:szCs w:val="24"/>
              </w:rPr>
              <w:t>:</w:t>
            </w:r>
          </w:p>
          <w:p w14:paraId="2D2B1A17" w14:textId="77777777" w:rsidR="00F059A2" w:rsidRPr="008378DE" w:rsidRDefault="00376288" w:rsidP="008378DE">
            <w:pPr>
              <w:spacing w:before="120" w:after="120"/>
              <w:jc w:val="both"/>
              <w:rPr>
                <w:color w:val="0000FF"/>
                <w:sz w:val="24"/>
                <w:szCs w:val="24"/>
                <w:lang w:val="en-US"/>
              </w:rPr>
            </w:pPr>
            <w:hyperlink r:id="rId29" w:history="1">
              <w:r w:rsidR="001427F5" w:rsidRPr="004F1FBA">
                <w:rPr>
                  <w:rStyle w:val="Hyperlink"/>
                  <w:sz w:val="24"/>
                  <w:szCs w:val="24"/>
                </w:rPr>
                <w:t>http://mig-pomorie.eu/</w:t>
              </w:r>
            </w:hyperlink>
            <w:r w:rsidR="008378DE">
              <w:rPr>
                <w:color w:val="0000FF"/>
                <w:sz w:val="24"/>
                <w:szCs w:val="24"/>
              </w:rPr>
              <w:t xml:space="preserve"> </w:t>
            </w:r>
            <w:r w:rsidR="00F059A2" w:rsidRPr="00A129AF">
              <w:rPr>
                <w:sz w:val="24"/>
                <w:szCs w:val="24"/>
              </w:rPr>
              <w:t>към документите по процедурата</w:t>
            </w:r>
            <w:r w:rsidR="001427F5">
              <w:rPr>
                <w:sz w:val="24"/>
                <w:szCs w:val="24"/>
              </w:rPr>
              <w:t>.</w:t>
            </w:r>
          </w:p>
        </w:tc>
      </w:tr>
    </w:tbl>
    <w:p w14:paraId="078875EA" w14:textId="20C9EA1A" w:rsidR="004E418C" w:rsidRPr="00E568E5" w:rsidRDefault="004E418C" w:rsidP="00E568E5">
      <w:pPr>
        <w:pStyle w:val="Heading2"/>
        <w:shd w:val="clear" w:color="auto" w:fill="FFFFFF" w:themeFill="background1"/>
      </w:pPr>
      <w:bookmarkStart w:id="87" w:name="_Toc534292237"/>
      <w:bookmarkStart w:id="88" w:name="_Toc445385631"/>
      <w:r w:rsidRPr="00E568E5">
        <w:t>2</w:t>
      </w:r>
      <w:r w:rsidR="00883A6D">
        <w:t>7</w:t>
      </w:r>
      <w:r w:rsidRPr="00E568E5">
        <w:t>.</w:t>
      </w:r>
      <w:r w:rsidR="008C5B0E">
        <w:t>2</w:t>
      </w:r>
      <w:r w:rsidRPr="00E568E5">
        <w:t>. Уведомяване относно предварителното решение на МИГ</w:t>
      </w:r>
      <w:bookmarkEnd w:id="87"/>
    </w:p>
    <w:tbl>
      <w:tblPr>
        <w:tblStyle w:val="TableGrid"/>
        <w:tblW w:w="0" w:type="auto"/>
        <w:tblLook w:val="04A0" w:firstRow="1" w:lastRow="0" w:firstColumn="1" w:lastColumn="0" w:noHBand="0" w:noVBand="1"/>
      </w:tblPr>
      <w:tblGrid>
        <w:gridCol w:w="9346"/>
      </w:tblGrid>
      <w:tr w:rsidR="004E418C" w:rsidRPr="00661B8E" w14:paraId="03F4504B" w14:textId="77777777" w:rsidTr="00BC5595">
        <w:tc>
          <w:tcPr>
            <w:tcW w:w="9496" w:type="dxa"/>
          </w:tcPr>
          <w:p w14:paraId="19203740" w14:textId="77777777" w:rsidR="004E418C" w:rsidRPr="00E568E5" w:rsidRDefault="00836CD3" w:rsidP="00E568E5">
            <w:pPr>
              <w:shd w:val="clear" w:color="auto" w:fill="FFFFFF" w:themeFill="background1"/>
              <w:jc w:val="both"/>
              <w:rPr>
                <w:sz w:val="24"/>
                <w:szCs w:val="24"/>
              </w:rPr>
            </w:pPr>
            <w:r w:rsidRPr="00E568E5">
              <w:rPr>
                <w:sz w:val="24"/>
                <w:szCs w:val="24"/>
              </w:rPr>
              <w:t xml:space="preserve">В срок до </w:t>
            </w:r>
            <w:r w:rsidR="00111693" w:rsidRPr="00E568E5">
              <w:rPr>
                <w:sz w:val="24"/>
                <w:szCs w:val="24"/>
              </w:rPr>
              <w:t>5</w:t>
            </w:r>
            <w:r w:rsidRPr="00E568E5">
              <w:rPr>
                <w:sz w:val="24"/>
                <w:szCs w:val="24"/>
              </w:rPr>
              <w:t xml:space="preserve"> работни дни от одобрение на оценителния доклад  от председателя на УС на МИГ, МИГ изпраща уведомително писмо на всеки кандидат за предварително одобряване или отхвърляне на заявлението, с мотивите за отказ. Писмото се изпраща до кандидата с обратна разписка или се получава лично от него в офиса на МИГ, което се удостоверява с подпис.</w:t>
            </w:r>
          </w:p>
        </w:tc>
      </w:tr>
    </w:tbl>
    <w:p w14:paraId="4EB91002" w14:textId="09EA4BA7" w:rsidR="00F059A2" w:rsidRPr="00E568E5" w:rsidRDefault="003B2B99" w:rsidP="00E568E5">
      <w:pPr>
        <w:pStyle w:val="Heading2"/>
        <w:shd w:val="clear" w:color="auto" w:fill="FFFFFF" w:themeFill="background1"/>
      </w:pPr>
      <w:bookmarkStart w:id="89" w:name="_Toc534292238"/>
      <w:r w:rsidRPr="00E568E5">
        <w:t>2</w:t>
      </w:r>
      <w:r w:rsidR="00883A6D">
        <w:t>7</w:t>
      </w:r>
      <w:r w:rsidR="004E418C" w:rsidRPr="00E568E5">
        <w:t>.</w:t>
      </w:r>
      <w:r w:rsidR="008C5B0E">
        <w:t>3.</w:t>
      </w:r>
      <w:r w:rsidR="00D67E90" w:rsidRPr="00E568E5">
        <w:t xml:space="preserve"> </w:t>
      </w:r>
      <w:r w:rsidR="00325CC3" w:rsidRPr="00E568E5">
        <w:t>Процедура за възражения относно оценката</w:t>
      </w:r>
      <w:bookmarkEnd w:id="88"/>
      <w:bookmarkEnd w:id="89"/>
    </w:p>
    <w:tbl>
      <w:tblPr>
        <w:tblStyle w:val="TableGrid"/>
        <w:tblW w:w="0" w:type="auto"/>
        <w:tblLook w:val="04A0" w:firstRow="1" w:lastRow="0" w:firstColumn="1" w:lastColumn="0" w:noHBand="0" w:noVBand="1"/>
      </w:tblPr>
      <w:tblGrid>
        <w:gridCol w:w="9346"/>
      </w:tblGrid>
      <w:tr w:rsidR="00D67E90" w:rsidRPr="00661B8E" w14:paraId="4364CD30" w14:textId="77777777" w:rsidTr="00D67E90">
        <w:tc>
          <w:tcPr>
            <w:tcW w:w="9496" w:type="dxa"/>
          </w:tcPr>
          <w:p w14:paraId="2CA7F07F" w14:textId="3DF22983" w:rsidR="009D2FBF" w:rsidRDefault="009D2FBF" w:rsidP="00E568E5">
            <w:pPr>
              <w:shd w:val="clear" w:color="auto" w:fill="FFFFFF" w:themeFill="background1"/>
              <w:jc w:val="both"/>
              <w:rPr>
                <w:sz w:val="24"/>
                <w:szCs w:val="24"/>
              </w:rPr>
            </w:pPr>
            <w:r w:rsidRPr="00E568E5">
              <w:rPr>
                <w:sz w:val="24"/>
                <w:szCs w:val="24"/>
              </w:rPr>
              <w:lastRenderedPageBreak/>
              <w:t xml:space="preserve">Всеки кандидат, получил уведомително писмо от МИГ, че проектното му предложение не е одобрено или че е частично одобрено, има право да възрази пред </w:t>
            </w:r>
            <w:r w:rsidR="00E14E53" w:rsidRPr="00E568E5">
              <w:rPr>
                <w:sz w:val="24"/>
                <w:szCs w:val="24"/>
              </w:rPr>
              <w:t>Държавен фонд “Земеделие”</w:t>
            </w:r>
            <w:r w:rsidRPr="00E568E5">
              <w:rPr>
                <w:sz w:val="24"/>
                <w:szCs w:val="24"/>
              </w:rPr>
              <w:t xml:space="preserve"> в срок до 3 работни дни от датата на получаването на уведомлението.</w:t>
            </w:r>
          </w:p>
          <w:p w14:paraId="0678A4E1" w14:textId="77777777" w:rsidR="006F7C9D" w:rsidRDefault="006F7C9D" w:rsidP="00E568E5">
            <w:pPr>
              <w:shd w:val="clear" w:color="auto" w:fill="FFFFFF" w:themeFill="background1"/>
              <w:jc w:val="both"/>
              <w:rPr>
                <w:sz w:val="24"/>
                <w:szCs w:val="24"/>
              </w:rPr>
            </w:pPr>
          </w:p>
          <w:p w14:paraId="5D5A11F2" w14:textId="47DBB474" w:rsidR="006F7C9D" w:rsidRPr="00E568E5" w:rsidRDefault="006F7C9D" w:rsidP="006F7C9D">
            <w:pPr>
              <w:shd w:val="clear" w:color="auto" w:fill="FFFFFF" w:themeFill="background1"/>
              <w:jc w:val="both"/>
              <w:rPr>
                <w:sz w:val="24"/>
                <w:szCs w:val="24"/>
              </w:rPr>
            </w:pPr>
            <w:r w:rsidRPr="006F7C9D">
              <w:rPr>
                <w:sz w:val="24"/>
                <w:szCs w:val="24"/>
              </w:rPr>
              <w:t>Държавен фонд "Земеделие" извършва проверка за спазване на процедурата по подбор на проектни предложения, финансирани изцяло или частично от ЕЗФРСР, в срок до 1 месец от изготвянето на доклада по чл. 44, ал. 3 от ПМС № 161 в ИСУН.</w:t>
            </w:r>
          </w:p>
          <w:p w14:paraId="6873F402" w14:textId="6D291198" w:rsidR="003B2B99" w:rsidRPr="00E568E5" w:rsidRDefault="003B2B99" w:rsidP="00E568E5">
            <w:pPr>
              <w:shd w:val="clear" w:color="auto" w:fill="FFFFFF" w:themeFill="background1"/>
              <w:jc w:val="both"/>
              <w:rPr>
                <w:szCs w:val="24"/>
              </w:rPr>
            </w:pPr>
          </w:p>
        </w:tc>
      </w:tr>
    </w:tbl>
    <w:p w14:paraId="58F97DA5" w14:textId="77777777" w:rsidR="0078072A" w:rsidRDefault="0078072A" w:rsidP="0078072A">
      <w:bookmarkStart w:id="90" w:name="_Toc445385635"/>
    </w:p>
    <w:p w14:paraId="51ECCCEB" w14:textId="77777777" w:rsidR="00913C01" w:rsidRDefault="00913C01" w:rsidP="0078072A"/>
    <w:p w14:paraId="3BF67145" w14:textId="77777777" w:rsidR="00913C01" w:rsidRPr="0078072A" w:rsidRDefault="00913C01" w:rsidP="0078072A"/>
    <w:p w14:paraId="3CB75B88" w14:textId="52A6A885" w:rsidR="00EC51FD" w:rsidRPr="006F7C9D" w:rsidRDefault="006C15B1" w:rsidP="006F7C9D">
      <w:pPr>
        <w:pStyle w:val="Heading1"/>
      </w:pPr>
      <w:bookmarkStart w:id="91" w:name="_Toc534292239"/>
      <w:r w:rsidRPr="00636AB4">
        <w:t>2</w:t>
      </w:r>
      <w:r w:rsidR="00883A6D" w:rsidRPr="00636AB4">
        <w:t>8</w:t>
      </w:r>
      <w:r w:rsidR="00D67E90" w:rsidRPr="00636AB4">
        <w:t xml:space="preserve">. Приложения към Условията за </w:t>
      </w:r>
      <w:r w:rsidR="007F4984" w:rsidRPr="00636AB4">
        <w:t>кандидатстване</w:t>
      </w:r>
      <w:r w:rsidR="00D67E90" w:rsidRPr="00636AB4">
        <w:t>:</w:t>
      </w:r>
      <w:bookmarkEnd w:id="90"/>
      <w:bookmarkEnd w:id="91"/>
    </w:p>
    <w:tbl>
      <w:tblPr>
        <w:tblStyle w:val="TableGrid"/>
        <w:tblW w:w="0" w:type="auto"/>
        <w:tblLook w:val="04A0" w:firstRow="1" w:lastRow="0" w:firstColumn="1" w:lastColumn="0" w:noHBand="0" w:noVBand="1"/>
      </w:tblPr>
      <w:tblGrid>
        <w:gridCol w:w="9346"/>
      </w:tblGrid>
      <w:tr w:rsidR="00883A6D" w:rsidRPr="007713C1" w14:paraId="560CAE38" w14:textId="77777777" w:rsidTr="00C7319E">
        <w:tc>
          <w:tcPr>
            <w:tcW w:w="9496" w:type="dxa"/>
          </w:tcPr>
          <w:p w14:paraId="7CBA5389" w14:textId="5B2BD114" w:rsidR="00636AB4" w:rsidRPr="00636AB4" w:rsidRDefault="00636AB4" w:rsidP="00C7319E">
            <w:pPr>
              <w:spacing w:before="120" w:after="120"/>
              <w:jc w:val="both"/>
              <w:rPr>
                <w:b/>
                <w:sz w:val="24"/>
                <w:szCs w:val="24"/>
              </w:rPr>
            </w:pPr>
            <w:r w:rsidRPr="00636AB4">
              <w:rPr>
                <w:b/>
                <w:sz w:val="24"/>
                <w:szCs w:val="24"/>
              </w:rPr>
              <w:t>ЗА ПОПЪЛВАНЕ</w:t>
            </w:r>
          </w:p>
          <w:p w14:paraId="4C6B1E9A" w14:textId="51F6F53C" w:rsidR="00883A6D" w:rsidRPr="00511578" w:rsidRDefault="00636AB4" w:rsidP="00C7319E">
            <w:pPr>
              <w:spacing w:before="120" w:after="120"/>
              <w:jc w:val="both"/>
              <w:rPr>
                <w:sz w:val="24"/>
                <w:szCs w:val="24"/>
              </w:rPr>
            </w:pPr>
            <w:r w:rsidRPr="00636AB4">
              <w:rPr>
                <w:sz w:val="24"/>
                <w:szCs w:val="24"/>
              </w:rPr>
              <w:t>1.</w:t>
            </w:r>
            <w:r w:rsidR="00511578">
              <w:rPr>
                <w:sz w:val="24"/>
                <w:szCs w:val="24"/>
              </w:rPr>
              <w:t xml:space="preserve"> </w:t>
            </w:r>
            <w:r w:rsidR="00511578">
              <w:rPr>
                <w:sz w:val="24"/>
                <w:szCs w:val="24"/>
                <w:lang w:val="en-US"/>
              </w:rPr>
              <w:t xml:space="preserve">Приложение </w:t>
            </w:r>
            <w:r w:rsidR="00511578">
              <w:rPr>
                <w:sz w:val="24"/>
                <w:szCs w:val="24"/>
              </w:rPr>
              <w:t>№</w:t>
            </w:r>
            <w:r w:rsidR="00511578">
              <w:rPr>
                <w:sz w:val="24"/>
                <w:szCs w:val="24"/>
                <w:lang w:val="en-US"/>
              </w:rPr>
              <w:t xml:space="preserve">1 </w:t>
            </w:r>
            <w:r w:rsidR="00786898">
              <w:rPr>
                <w:sz w:val="24"/>
                <w:szCs w:val="24"/>
                <w:lang w:val="en-US"/>
              </w:rPr>
              <w:t>Таблица за допустими инвестиции</w:t>
            </w:r>
            <w:r w:rsidR="00511578">
              <w:rPr>
                <w:sz w:val="24"/>
                <w:szCs w:val="24"/>
              </w:rPr>
              <w:t>;</w:t>
            </w:r>
          </w:p>
          <w:p w14:paraId="5F74AB5A" w14:textId="5487B93D" w:rsidR="00636AB4" w:rsidRPr="00636AB4" w:rsidRDefault="00511578" w:rsidP="00C7319E">
            <w:pPr>
              <w:spacing w:before="120" w:after="120"/>
              <w:jc w:val="both"/>
              <w:rPr>
                <w:sz w:val="24"/>
                <w:szCs w:val="24"/>
              </w:rPr>
            </w:pPr>
            <w:r>
              <w:rPr>
                <w:sz w:val="24"/>
                <w:szCs w:val="24"/>
              </w:rPr>
              <w:t xml:space="preserve">2. Приложение №2 </w:t>
            </w:r>
            <w:r w:rsidR="00786898" w:rsidRPr="00786898">
              <w:rPr>
                <w:sz w:val="24"/>
                <w:szCs w:val="24"/>
              </w:rPr>
              <w:t>Декларация по чл. 19 и 20 от Закона за защита на личните данни</w:t>
            </w:r>
            <w:r>
              <w:rPr>
                <w:sz w:val="24"/>
                <w:szCs w:val="24"/>
              </w:rPr>
              <w:t>;</w:t>
            </w:r>
          </w:p>
          <w:p w14:paraId="6DB85A67" w14:textId="1BD85027" w:rsidR="00636AB4" w:rsidRPr="00636AB4" w:rsidRDefault="00636AB4" w:rsidP="00C7319E">
            <w:pPr>
              <w:spacing w:before="120" w:after="120"/>
              <w:jc w:val="both"/>
              <w:rPr>
                <w:sz w:val="24"/>
                <w:szCs w:val="24"/>
              </w:rPr>
            </w:pPr>
            <w:r w:rsidRPr="00636AB4">
              <w:rPr>
                <w:sz w:val="24"/>
                <w:szCs w:val="24"/>
              </w:rPr>
              <w:t xml:space="preserve">3. </w:t>
            </w:r>
            <w:r w:rsidR="00511578">
              <w:rPr>
                <w:sz w:val="24"/>
                <w:szCs w:val="24"/>
              </w:rPr>
              <w:t xml:space="preserve">Приложение №3 Декларация за </w:t>
            </w:r>
            <w:r w:rsidRPr="00636AB4">
              <w:rPr>
                <w:sz w:val="24"/>
                <w:szCs w:val="24"/>
              </w:rPr>
              <w:t>нередности</w:t>
            </w:r>
            <w:r w:rsidR="00511578">
              <w:rPr>
                <w:sz w:val="24"/>
                <w:szCs w:val="24"/>
              </w:rPr>
              <w:t>;</w:t>
            </w:r>
          </w:p>
          <w:p w14:paraId="23FFD1A0" w14:textId="2D03AF6F" w:rsidR="00636AB4" w:rsidRPr="00636AB4" w:rsidRDefault="00511578" w:rsidP="00C7319E">
            <w:pPr>
              <w:spacing w:before="120" w:after="120"/>
              <w:jc w:val="both"/>
              <w:rPr>
                <w:sz w:val="24"/>
                <w:szCs w:val="24"/>
              </w:rPr>
            </w:pPr>
            <w:r>
              <w:rPr>
                <w:sz w:val="24"/>
                <w:szCs w:val="24"/>
              </w:rPr>
              <w:t xml:space="preserve">4. Приложение № 4 </w:t>
            </w:r>
            <w:r w:rsidR="00786898">
              <w:rPr>
                <w:sz w:val="24"/>
                <w:szCs w:val="24"/>
              </w:rPr>
              <w:t xml:space="preserve">Формуляр за </w:t>
            </w:r>
            <w:r w:rsidR="00636AB4" w:rsidRPr="00636AB4">
              <w:rPr>
                <w:sz w:val="24"/>
                <w:szCs w:val="24"/>
              </w:rPr>
              <w:t>мониторинг</w:t>
            </w:r>
            <w:r>
              <w:rPr>
                <w:sz w:val="24"/>
                <w:szCs w:val="24"/>
              </w:rPr>
              <w:t>;</w:t>
            </w:r>
          </w:p>
          <w:p w14:paraId="42989BD8" w14:textId="3F0C6221" w:rsidR="00636AB4" w:rsidRPr="00636AB4" w:rsidRDefault="00945629" w:rsidP="00C7319E">
            <w:pPr>
              <w:spacing w:before="120" w:after="120"/>
              <w:jc w:val="both"/>
              <w:rPr>
                <w:sz w:val="24"/>
                <w:szCs w:val="24"/>
              </w:rPr>
            </w:pPr>
            <w:r>
              <w:rPr>
                <w:sz w:val="24"/>
                <w:szCs w:val="24"/>
              </w:rPr>
              <w:t>5. Приложение № 5</w:t>
            </w:r>
            <w:r w:rsidR="00511578">
              <w:rPr>
                <w:sz w:val="24"/>
                <w:szCs w:val="24"/>
              </w:rPr>
              <w:t xml:space="preserve"> </w:t>
            </w:r>
            <w:r w:rsidR="00DD3EA1">
              <w:rPr>
                <w:sz w:val="24"/>
                <w:szCs w:val="24"/>
              </w:rPr>
              <w:t xml:space="preserve">Декларация </w:t>
            </w:r>
            <w:r w:rsidR="00DD3EA1" w:rsidRPr="00DD3EA1">
              <w:rPr>
                <w:sz w:val="24"/>
                <w:szCs w:val="24"/>
              </w:rPr>
              <w:t>за липса на основания за отстраняване</w:t>
            </w:r>
            <w:r w:rsidR="00786898">
              <w:rPr>
                <w:sz w:val="24"/>
                <w:szCs w:val="24"/>
              </w:rPr>
              <w:t xml:space="preserve"> </w:t>
            </w:r>
            <w:r w:rsidR="00511578">
              <w:rPr>
                <w:sz w:val="24"/>
                <w:szCs w:val="24"/>
              </w:rPr>
              <w:t>;</w:t>
            </w:r>
          </w:p>
          <w:p w14:paraId="13E7953B" w14:textId="6451E00F" w:rsidR="00636AB4" w:rsidRPr="00636AB4" w:rsidRDefault="00945629" w:rsidP="00C7319E">
            <w:pPr>
              <w:spacing w:before="120" w:after="120"/>
              <w:jc w:val="both"/>
              <w:rPr>
                <w:sz w:val="24"/>
                <w:szCs w:val="24"/>
              </w:rPr>
            </w:pPr>
            <w:r>
              <w:rPr>
                <w:sz w:val="24"/>
                <w:szCs w:val="24"/>
              </w:rPr>
              <w:t>6. Приложение № 6</w:t>
            </w:r>
            <w:r w:rsidR="00511578">
              <w:rPr>
                <w:sz w:val="24"/>
                <w:szCs w:val="24"/>
              </w:rPr>
              <w:t xml:space="preserve"> </w:t>
            </w:r>
            <w:r w:rsidR="003D4C55">
              <w:rPr>
                <w:sz w:val="24"/>
                <w:szCs w:val="24"/>
              </w:rPr>
              <w:t xml:space="preserve">Декларация за неприложими </w:t>
            </w:r>
            <w:r w:rsidR="00636AB4" w:rsidRPr="00636AB4">
              <w:rPr>
                <w:sz w:val="24"/>
                <w:szCs w:val="24"/>
              </w:rPr>
              <w:t>документи</w:t>
            </w:r>
            <w:r w:rsidR="00511578">
              <w:rPr>
                <w:sz w:val="24"/>
                <w:szCs w:val="24"/>
              </w:rPr>
              <w:t>;</w:t>
            </w:r>
          </w:p>
          <w:p w14:paraId="758546BB" w14:textId="51D0A1F4" w:rsidR="00636AB4" w:rsidRPr="00636AB4" w:rsidRDefault="00945629" w:rsidP="00C7319E">
            <w:pPr>
              <w:spacing w:before="120" w:after="120"/>
              <w:jc w:val="both"/>
              <w:rPr>
                <w:sz w:val="24"/>
                <w:szCs w:val="24"/>
              </w:rPr>
            </w:pPr>
            <w:r>
              <w:rPr>
                <w:sz w:val="24"/>
                <w:szCs w:val="24"/>
              </w:rPr>
              <w:t>7. Приложение № 7</w:t>
            </w:r>
            <w:r w:rsidR="00511578">
              <w:rPr>
                <w:sz w:val="24"/>
                <w:szCs w:val="24"/>
              </w:rPr>
              <w:t xml:space="preserve"> </w:t>
            </w:r>
            <w:r w:rsidR="003D4C55">
              <w:rPr>
                <w:sz w:val="24"/>
                <w:szCs w:val="24"/>
              </w:rPr>
              <w:t xml:space="preserve">Декларация </w:t>
            </w:r>
            <w:r w:rsidR="00636AB4" w:rsidRPr="00636AB4">
              <w:rPr>
                <w:sz w:val="24"/>
                <w:szCs w:val="24"/>
              </w:rPr>
              <w:t>НСИ</w:t>
            </w:r>
            <w:r w:rsidR="00511578">
              <w:rPr>
                <w:sz w:val="24"/>
                <w:szCs w:val="24"/>
              </w:rPr>
              <w:t>;</w:t>
            </w:r>
          </w:p>
          <w:p w14:paraId="68228463" w14:textId="35DC4E7A" w:rsidR="00636AB4" w:rsidRDefault="00945629" w:rsidP="00C7319E">
            <w:pPr>
              <w:spacing w:before="120" w:after="120"/>
              <w:jc w:val="both"/>
              <w:rPr>
                <w:sz w:val="24"/>
                <w:szCs w:val="24"/>
              </w:rPr>
            </w:pPr>
            <w:r>
              <w:rPr>
                <w:sz w:val="24"/>
                <w:szCs w:val="24"/>
              </w:rPr>
              <w:t>8. Приложение № 8</w:t>
            </w:r>
            <w:r w:rsidR="00511578">
              <w:rPr>
                <w:sz w:val="24"/>
                <w:szCs w:val="24"/>
              </w:rPr>
              <w:t xml:space="preserve"> </w:t>
            </w:r>
            <w:r w:rsidR="003D4C55">
              <w:rPr>
                <w:sz w:val="24"/>
                <w:szCs w:val="24"/>
              </w:rPr>
              <w:t xml:space="preserve">Декларация за генериране на нетни </w:t>
            </w:r>
            <w:r w:rsidR="00636AB4" w:rsidRPr="00636AB4">
              <w:rPr>
                <w:sz w:val="24"/>
                <w:szCs w:val="24"/>
              </w:rPr>
              <w:t>приходи</w:t>
            </w:r>
            <w:r w:rsidR="00511578">
              <w:rPr>
                <w:sz w:val="24"/>
                <w:szCs w:val="24"/>
              </w:rPr>
              <w:t>;</w:t>
            </w:r>
          </w:p>
          <w:p w14:paraId="34542F7E" w14:textId="285AACA0" w:rsidR="00A50EB9" w:rsidRPr="00511578" w:rsidRDefault="00945629" w:rsidP="00C7319E">
            <w:pPr>
              <w:spacing w:before="120" w:after="120"/>
              <w:jc w:val="both"/>
              <w:rPr>
                <w:sz w:val="24"/>
                <w:szCs w:val="24"/>
              </w:rPr>
            </w:pPr>
            <w:r>
              <w:rPr>
                <w:sz w:val="24"/>
                <w:szCs w:val="24"/>
              </w:rPr>
              <w:t>9</w:t>
            </w:r>
            <w:r w:rsidR="00511578">
              <w:rPr>
                <w:sz w:val="24"/>
                <w:szCs w:val="24"/>
              </w:rPr>
              <w:t xml:space="preserve">. Приложение № </w:t>
            </w:r>
            <w:r>
              <w:rPr>
                <w:sz w:val="24"/>
                <w:szCs w:val="24"/>
              </w:rPr>
              <w:t>9</w:t>
            </w:r>
            <w:r w:rsidR="00A50EB9">
              <w:rPr>
                <w:sz w:val="24"/>
                <w:szCs w:val="24"/>
              </w:rPr>
              <w:t xml:space="preserve">.1. Анализ разходи </w:t>
            </w:r>
            <w:r w:rsidR="00A50EB9" w:rsidRPr="00A50EB9">
              <w:rPr>
                <w:sz w:val="24"/>
                <w:szCs w:val="24"/>
              </w:rPr>
              <w:t>ползи</w:t>
            </w:r>
            <w:r w:rsidR="00A50EB9">
              <w:rPr>
                <w:sz w:val="24"/>
                <w:szCs w:val="24"/>
              </w:rPr>
              <w:t xml:space="preserve"> </w:t>
            </w:r>
            <w:r w:rsidR="00511578">
              <w:rPr>
                <w:sz w:val="24"/>
                <w:szCs w:val="24"/>
              </w:rPr>
              <w:t>–</w:t>
            </w:r>
            <w:r w:rsidR="00A50EB9">
              <w:rPr>
                <w:sz w:val="24"/>
                <w:szCs w:val="24"/>
              </w:rPr>
              <w:t xml:space="preserve"> </w:t>
            </w:r>
            <w:r w:rsidR="00A50EB9">
              <w:rPr>
                <w:sz w:val="24"/>
                <w:szCs w:val="24"/>
                <w:lang w:val="en-US"/>
              </w:rPr>
              <w:t>word</w:t>
            </w:r>
            <w:r w:rsidR="00511578">
              <w:rPr>
                <w:sz w:val="24"/>
                <w:szCs w:val="24"/>
              </w:rPr>
              <w:t>;</w:t>
            </w:r>
          </w:p>
          <w:p w14:paraId="1233474B" w14:textId="270161D8" w:rsidR="00A50EB9" w:rsidRPr="00511578" w:rsidRDefault="00945629" w:rsidP="00C7319E">
            <w:pPr>
              <w:spacing w:before="120" w:after="120"/>
              <w:jc w:val="both"/>
              <w:rPr>
                <w:sz w:val="24"/>
                <w:szCs w:val="24"/>
              </w:rPr>
            </w:pPr>
            <w:r>
              <w:rPr>
                <w:sz w:val="24"/>
                <w:szCs w:val="24"/>
              </w:rPr>
              <w:t xml:space="preserve">10.  </w:t>
            </w:r>
            <w:r w:rsidR="00511578">
              <w:rPr>
                <w:sz w:val="24"/>
                <w:szCs w:val="24"/>
              </w:rPr>
              <w:t xml:space="preserve">Приложение № </w:t>
            </w:r>
            <w:r>
              <w:rPr>
                <w:sz w:val="24"/>
                <w:szCs w:val="24"/>
              </w:rPr>
              <w:t>9</w:t>
            </w:r>
            <w:r w:rsidR="00274D04">
              <w:rPr>
                <w:sz w:val="24"/>
                <w:szCs w:val="24"/>
              </w:rPr>
              <w:t xml:space="preserve">.2. Анализ разходи </w:t>
            </w:r>
            <w:r w:rsidR="00A50EB9" w:rsidRPr="00A50EB9">
              <w:rPr>
                <w:sz w:val="24"/>
                <w:szCs w:val="24"/>
              </w:rPr>
              <w:t>ползи</w:t>
            </w:r>
            <w:r w:rsidR="00A50EB9">
              <w:rPr>
                <w:sz w:val="24"/>
                <w:szCs w:val="24"/>
                <w:lang w:val="en-US"/>
              </w:rPr>
              <w:t xml:space="preserve"> </w:t>
            </w:r>
            <w:r w:rsidR="00107F3D">
              <w:rPr>
                <w:sz w:val="24"/>
                <w:szCs w:val="24"/>
                <w:lang w:val="en-US"/>
              </w:rPr>
              <w:t>–</w:t>
            </w:r>
            <w:r w:rsidR="00A50EB9">
              <w:rPr>
                <w:sz w:val="24"/>
                <w:szCs w:val="24"/>
                <w:lang w:val="en-US"/>
              </w:rPr>
              <w:t xml:space="preserve"> excel</w:t>
            </w:r>
            <w:r w:rsidR="00511578">
              <w:rPr>
                <w:sz w:val="24"/>
                <w:szCs w:val="24"/>
              </w:rPr>
              <w:t>;</w:t>
            </w:r>
          </w:p>
          <w:p w14:paraId="29E9D904" w14:textId="4C51C971" w:rsidR="00107F3D" w:rsidRPr="00107F3D" w:rsidRDefault="00945629" w:rsidP="00C7319E">
            <w:pPr>
              <w:spacing w:before="120" w:after="120"/>
              <w:jc w:val="both"/>
              <w:rPr>
                <w:sz w:val="24"/>
                <w:szCs w:val="24"/>
              </w:rPr>
            </w:pPr>
            <w:r>
              <w:rPr>
                <w:sz w:val="24"/>
                <w:szCs w:val="24"/>
              </w:rPr>
              <w:t>11</w:t>
            </w:r>
            <w:r w:rsidR="00107F3D">
              <w:rPr>
                <w:sz w:val="24"/>
                <w:szCs w:val="24"/>
              </w:rPr>
              <w:t xml:space="preserve">. </w:t>
            </w:r>
            <w:r>
              <w:rPr>
                <w:sz w:val="24"/>
                <w:szCs w:val="24"/>
              </w:rPr>
              <w:t>Приложение  №10</w:t>
            </w:r>
            <w:r w:rsidR="00511578">
              <w:rPr>
                <w:sz w:val="24"/>
                <w:szCs w:val="24"/>
              </w:rPr>
              <w:t xml:space="preserve"> </w:t>
            </w:r>
            <w:r w:rsidR="00107F3D" w:rsidRPr="00107F3D">
              <w:rPr>
                <w:sz w:val="24"/>
                <w:szCs w:val="24"/>
              </w:rPr>
              <w:t>Декларация изкуствено създадени условия</w:t>
            </w:r>
            <w:r w:rsidR="00511578">
              <w:rPr>
                <w:sz w:val="24"/>
                <w:szCs w:val="24"/>
              </w:rPr>
              <w:t>;</w:t>
            </w:r>
          </w:p>
          <w:p w14:paraId="04BC96F9" w14:textId="1E111B03" w:rsidR="00636AB4" w:rsidRDefault="00945629" w:rsidP="00107F3D">
            <w:pPr>
              <w:tabs>
                <w:tab w:val="left" w:pos="870"/>
              </w:tabs>
              <w:spacing w:before="120" w:after="120"/>
              <w:jc w:val="both"/>
              <w:rPr>
                <w:sz w:val="24"/>
                <w:szCs w:val="24"/>
              </w:rPr>
            </w:pPr>
            <w:r>
              <w:rPr>
                <w:sz w:val="24"/>
                <w:szCs w:val="24"/>
              </w:rPr>
              <w:t>12</w:t>
            </w:r>
            <w:r w:rsidR="00107F3D">
              <w:rPr>
                <w:sz w:val="24"/>
                <w:szCs w:val="24"/>
              </w:rPr>
              <w:t xml:space="preserve">. </w:t>
            </w:r>
            <w:r>
              <w:rPr>
                <w:sz w:val="24"/>
                <w:szCs w:val="24"/>
              </w:rPr>
              <w:t>Приложение № 11</w:t>
            </w:r>
            <w:r w:rsidR="00511578">
              <w:rPr>
                <w:sz w:val="24"/>
                <w:szCs w:val="24"/>
              </w:rPr>
              <w:t xml:space="preserve"> </w:t>
            </w:r>
            <w:r w:rsidR="00107F3D" w:rsidRPr="00107F3D">
              <w:rPr>
                <w:sz w:val="24"/>
                <w:szCs w:val="24"/>
              </w:rPr>
              <w:t>Декларация двойно финансиране</w:t>
            </w:r>
            <w:r w:rsidR="00511578">
              <w:rPr>
                <w:sz w:val="24"/>
                <w:szCs w:val="24"/>
              </w:rPr>
              <w:t>;</w:t>
            </w:r>
          </w:p>
          <w:p w14:paraId="72A2D4CD" w14:textId="000D2D93" w:rsidR="00056238" w:rsidRDefault="00B02035" w:rsidP="00107F3D">
            <w:pPr>
              <w:tabs>
                <w:tab w:val="left" w:pos="870"/>
              </w:tabs>
              <w:spacing w:before="120" w:after="120"/>
              <w:jc w:val="both"/>
              <w:rPr>
                <w:sz w:val="24"/>
                <w:szCs w:val="24"/>
              </w:rPr>
            </w:pPr>
            <w:r>
              <w:rPr>
                <w:sz w:val="24"/>
                <w:szCs w:val="24"/>
              </w:rPr>
              <w:t>13</w:t>
            </w:r>
            <w:r w:rsidR="00056238">
              <w:rPr>
                <w:sz w:val="24"/>
                <w:szCs w:val="24"/>
              </w:rPr>
              <w:t xml:space="preserve">. </w:t>
            </w:r>
            <w:r>
              <w:rPr>
                <w:sz w:val="24"/>
                <w:szCs w:val="24"/>
              </w:rPr>
              <w:t>Приложение № 12</w:t>
            </w:r>
            <w:r w:rsidR="00511578">
              <w:rPr>
                <w:sz w:val="24"/>
                <w:szCs w:val="24"/>
              </w:rPr>
              <w:t xml:space="preserve"> </w:t>
            </w:r>
            <w:r w:rsidR="00056238" w:rsidRPr="00056238">
              <w:rPr>
                <w:sz w:val="24"/>
                <w:szCs w:val="24"/>
              </w:rPr>
              <w:t>Декларация за минимални помощи</w:t>
            </w:r>
            <w:r w:rsidR="00056238">
              <w:rPr>
                <w:sz w:val="24"/>
                <w:szCs w:val="24"/>
              </w:rPr>
              <w:t>;</w:t>
            </w:r>
          </w:p>
          <w:p w14:paraId="13B0CEB2" w14:textId="77CDFB54" w:rsidR="00107F3D" w:rsidRDefault="00B02035" w:rsidP="008A729E">
            <w:pPr>
              <w:tabs>
                <w:tab w:val="left" w:pos="870"/>
              </w:tabs>
              <w:spacing w:before="120" w:after="120"/>
              <w:jc w:val="both"/>
              <w:rPr>
                <w:sz w:val="24"/>
                <w:szCs w:val="24"/>
              </w:rPr>
            </w:pPr>
            <w:r>
              <w:rPr>
                <w:sz w:val="24"/>
                <w:szCs w:val="24"/>
              </w:rPr>
              <w:t>14</w:t>
            </w:r>
            <w:r w:rsidR="00056238">
              <w:rPr>
                <w:sz w:val="24"/>
                <w:szCs w:val="24"/>
              </w:rPr>
              <w:t xml:space="preserve">. </w:t>
            </w:r>
            <w:r w:rsidR="00511578">
              <w:rPr>
                <w:sz w:val="24"/>
                <w:szCs w:val="24"/>
              </w:rPr>
              <w:t>При</w:t>
            </w:r>
            <w:r>
              <w:rPr>
                <w:sz w:val="24"/>
                <w:szCs w:val="24"/>
              </w:rPr>
              <w:t>ложение № 13</w:t>
            </w:r>
            <w:r w:rsidR="00511578">
              <w:rPr>
                <w:sz w:val="24"/>
                <w:szCs w:val="24"/>
              </w:rPr>
              <w:t xml:space="preserve"> Образец на запитване за </w:t>
            </w:r>
            <w:r w:rsidR="00056238" w:rsidRPr="00056238">
              <w:rPr>
                <w:sz w:val="24"/>
                <w:szCs w:val="24"/>
              </w:rPr>
              <w:t>оферта</w:t>
            </w:r>
            <w:r w:rsidR="002A2BF5">
              <w:rPr>
                <w:sz w:val="24"/>
                <w:szCs w:val="24"/>
              </w:rPr>
              <w:t>;</w:t>
            </w:r>
          </w:p>
          <w:p w14:paraId="547681F7" w14:textId="7AD78FDD" w:rsidR="0081007E" w:rsidRDefault="0081007E" w:rsidP="008A729E">
            <w:pPr>
              <w:tabs>
                <w:tab w:val="left" w:pos="870"/>
              </w:tabs>
              <w:spacing w:before="120" w:after="120"/>
              <w:jc w:val="both"/>
              <w:rPr>
                <w:sz w:val="24"/>
                <w:szCs w:val="24"/>
              </w:rPr>
            </w:pPr>
            <w:r>
              <w:rPr>
                <w:sz w:val="24"/>
                <w:szCs w:val="24"/>
              </w:rPr>
              <w:t xml:space="preserve">15. Приложение № 14 </w:t>
            </w:r>
            <w:r w:rsidRPr="0081007E">
              <w:rPr>
                <w:sz w:val="24"/>
                <w:szCs w:val="24"/>
              </w:rPr>
              <w:t>Декларация за свързаност съгласно Заповед №РД 09-64703.07.2019</w:t>
            </w:r>
            <w:r w:rsidR="00886EEB">
              <w:rPr>
                <w:sz w:val="24"/>
                <w:szCs w:val="24"/>
              </w:rPr>
              <w:t>;</w:t>
            </w:r>
          </w:p>
          <w:p w14:paraId="51015131" w14:textId="77777777" w:rsidR="00952B50" w:rsidRDefault="00952B50" w:rsidP="008A729E">
            <w:pPr>
              <w:tabs>
                <w:tab w:val="left" w:pos="870"/>
              </w:tabs>
              <w:spacing w:before="120" w:after="120"/>
              <w:jc w:val="both"/>
              <w:rPr>
                <w:sz w:val="24"/>
                <w:szCs w:val="24"/>
              </w:rPr>
            </w:pPr>
          </w:p>
          <w:p w14:paraId="51F87AE4" w14:textId="448F4BA7" w:rsidR="00636AB4" w:rsidRPr="00636AB4" w:rsidRDefault="00636AB4" w:rsidP="00C7319E">
            <w:pPr>
              <w:spacing w:before="120" w:after="120"/>
              <w:jc w:val="both"/>
              <w:rPr>
                <w:b/>
                <w:sz w:val="24"/>
                <w:szCs w:val="24"/>
              </w:rPr>
            </w:pPr>
            <w:r w:rsidRPr="00636AB4">
              <w:rPr>
                <w:b/>
                <w:sz w:val="24"/>
                <w:szCs w:val="24"/>
              </w:rPr>
              <w:lastRenderedPageBreak/>
              <w:t>ЗА ИНФОРМАЦИЯ</w:t>
            </w:r>
          </w:p>
          <w:p w14:paraId="410D1EC7" w14:textId="478A8ABC" w:rsidR="00636AB4" w:rsidRPr="00636AB4" w:rsidRDefault="0011229E" w:rsidP="00C7319E">
            <w:pPr>
              <w:spacing w:before="120" w:after="120"/>
              <w:jc w:val="both"/>
              <w:rPr>
                <w:sz w:val="24"/>
                <w:szCs w:val="24"/>
              </w:rPr>
            </w:pPr>
            <w:r>
              <w:rPr>
                <w:sz w:val="24"/>
                <w:szCs w:val="24"/>
              </w:rPr>
              <w:t>16</w:t>
            </w:r>
            <w:r w:rsidR="002A2BF5">
              <w:rPr>
                <w:sz w:val="24"/>
                <w:szCs w:val="24"/>
              </w:rPr>
              <w:t>. Приложение №</w:t>
            </w:r>
            <w:r w:rsidR="0081007E">
              <w:rPr>
                <w:sz w:val="24"/>
                <w:szCs w:val="24"/>
              </w:rPr>
              <w:t>15</w:t>
            </w:r>
            <w:r w:rsidR="002A2BF5">
              <w:rPr>
                <w:sz w:val="24"/>
                <w:szCs w:val="24"/>
              </w:rPr>
              <w:t xml:space="preserve"> Контролен лист </w:t>
            </w:r>
            <w:r w:rsidR="00636AB4" w:rsidRPr="00636AB4">
              <w:rPr>
                <w:sz w:val="24"/>
                <w:szCs w:val="24"/>
              </w:rPr>
              <w:t>АСД</w:t>
            </w:r>
            <w:r w:rsidR="002A2BF5">
              <w:rPr>
                <w:sz w:val="24"/>
                <w:szCs w:val="24"/>
              </w:rPr>
              <w:t>;</w:t>
            </w:r>
          </w:p>
          <w:p w14:paraId="37E83C70" w14:textId="7B996075" w:rsidR="00636AB4" w:rsidRPr="00636AB4" w:rsidRDefault="0011229E" w:rsidP="00C7319E">
            <w:pPr>
              <w:spacing w:before="120" w:after="120"/>
              <w:jc w:val="both"/>
              <w:rPr>
                <w:sz w:val="24"/>
                <w:szCs w:val="24"/>
              </w:rPr>
            </w:pPr>
            <w:r>
              <w:rPr>
                <w:sz w:val="24"/>
                <w:szCs w:val="24"/>
              </w:rPr>
              <w:t>17</w:t>
            </w:r>
            <w:r w:rsidR="002A2BF5">
              <w:rPr>
                <w:sz w:val="24"/>
                <w:szCs w:val="24"/>
              </w:rPr>
              <w:t xml:space="preserve">. Приложение № </w:t>
            </w:r>
            <w:r w:rsidR="0081007E">
              <w:rPr>
                <w:sz w:val="24"/>
                <w:szCs w:val="24"/>
              </w:rPr>
              <w:t>16</w:t>
            </w:r>
            <w:r w:rsidR="002A2BF5">
              <w:rPr>
                <w:sz w:val="24"/>
                <w:szCs w:val="24"/>
              </w:rPr>
              <w:t xml:space="preserve">_Контролен лист </w:t>
            </w:r>
            <w:r w:rsidR="00636AB4" w:rsidRPr="00636AB4">
              <w:rPr>
                <w:sz w:val="24"/>
                <w:szCs w:val="24"/>
              </w:rPr>
              <w:t>ТФО</w:t>
            </w:r>
            <w:r w:rsidR="002A2BF5">
              <w:rPr>
                <w:sz w:val="24"/>
                <w:szCs w:val="24"/>
              </w:rPr>
              <w:t>;</w:t>
            </w:r>
          </w:p>
          <w:p w14:paraId="5412DD6C" w14:textId="656551F2" w:rsidR="00636AB4" w:rsidRPr="00636AB4" w:rsidRDefault="0011229E" w:rsidP="00C7319E">
            <w:pPr>
              <w:spacing w:before="120" w:after="120"/>
              <w:jc w:val="both"/>
              <w:rPr>
                <w:sz w:val="24"/>
                <w:szCs w:val="24"/>
              </w:rPr>
            </w:pPr>
            <w:r>
              <w:rPr>
                <w:sz w:val="24"/>
                <w:szCs w:val="24"/>
              </w:rPr>
              <w:t>18</w:t>
            </w:r>
            <w:r w:rsidR="00F43B48">
              <w:rPr>
                <w:sz w:val="24"/>
                <w:szCs w:val="24"/>
              </w:rPr>
              <w:t>. Прил</w:t>
            </w:r>
            <w:r w:rsidR="002A2BF5">
              <w:rPr>
                <w:sz w:val="24"/>
                <w:szCs w:val="24"/>
              </w:rPr>
              <w:t>ожение №</w:t>
            </w:r>
            <w:r w:rsidR="0007572B">
              <w:rPr>
                <w:sz w:val="24"/>
                <w:szCs w:val="24"/>
              </w:rPr>
              <w:t>1</w:t>
            </w:r>
            <w:r w:rsidR="0081007E">
              <w:rPr>
                <w:sz w:val="24"/>
                <w:szCs w:val="24"/>
              </w:rPr>
              <w:t>7</w:t>
            </w:r>
            <w:r w:rsidR="0007572B">
              <w:rPr>
                <w:sz w:val="24"/>
                <w:szCs w:val="24"/>
              </w:rPr>
              <w:t xml:space="preserve"> </w:t>
            </w:r>
            <w:r w:rsidR="001040FA" w:rsidRPr="001040FA">
              <w:rPr>
                <w:sz w:val="24"/>
                <w:szCs w:val="24"/>
              </w:rPr>
              <w:t>Списък разходи с референтни цени;</w:t>
            </w:r>
          </w:p>
          <w:p w14:paraId="3EC992AC" w14:textId="1EBCFEE2" w:rsidR="00ED07AC" w:rsidRPr="00C32706" w:rsidRDefault="0011229E" w:rsidP="00CB220C">
            <w:pPr>
              <w:spacing w:before="120" w:after="120"/>
              <w:jc w:val="both"/>
              <w:rPr>
                <w:sz w:val="24"/>
                <w:szCs w:val="24"/>
              </w:rPr>
            </w:pPr>
            <w:r>
              <w:rPr>
                <w:sz w:val="24"/>
                <w:szCs w:val="24"/>
              </w:rPr>
              <w:t>19</w:t>
            </w:r>
            <w:r w:rsidR="00107F3D">
              <w:rPr>
                <w:sz w:val="24"/>
                <w:szCs w:val="24"/>
              </w:rPr>
              <w:t xml:space="preserve">. </w:t>
            </w:r>
            <w:r w:rsidR="002A2BF5">
              <w:rPr>
                <w:sz w:val="24"/>
                <w:szCs w:val="24"/>
              </w:rPr>
              <w:t>Приложение №</w:t>
            </w:r>
            <w:r w:rsidR="0081007E">
              <w:rPr>
                <w:sz w:val="24"/>
                <w:szCs w:val="24"/>
              </w:rPr>
              <w:t>18</w:t>
            </w:r>
            <w:r w:rsidR="0007572B">
              <w:rPr>
                <w:sz w:val="24"/>
                <w:szCs w:val="24"/>
              </w:rPr>
              <w:t xml:space="preserve"> </w:t>
            </w:r>
            <w:r w:rsidR="001040FA" w:rsidRPr="001040FA">
              <w:rPr>
                <w:sz w:val="24"/>
                <w:szCs w:val="24"/>
              </w:rPr>
              <w:t>Указания за попълване на декларация за минимални помощи.</w:t>
            </w:r>
          </w:p>
        </w:tc>
      </w:tr>
    </w:tbl>
    <w:p w14:paraId="613F4BAB" w14:textId="77777777" w:rsidR="00EC51FD" w:rsidRPr="00EC51FD" w:rsidRDefault="00EC51FD" w:rsidP="00EC51FD">
      <w:pPr>
        <w:pStyle w:val="ListParagraph"/>
        <w:spacing w:before="120" w:after="120" w:line="240" w:lineRule="auto"/>
        <w:ind w:left="0"/>
        <w:contextualSpacing w:val="0"/>
        <w:jc w:val="both"/>
        <w:rPr>
          <w:rFonts w:ascii="Times New Roman" w:hAnsi="Times New Roman" w:cs="Times New Roman"/>
          <w:sz w:val="24"/>
          <w:szCs w:val="24"/>
        </w:rPr>
      </w:pPr>
    </w:p>
    <w:sectPr w:rsidR="00EC51FD" w:rsidRPr="00EC51FD" w:rsidSect="00AF5CC7">
      <w:headerReference w:type="default" r:id="rId30"/>
      <w:footerReference w:type="default" r:id="rId31"/>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CA8A0" w14:textId="77777777" w:rsidR="00376288" w:rsidRDefault="00376288" w:rsidP="002325A3">
      <w:pPr>
        <w:spacing w:after="0" w:line="240" w:lineRule="auto"/>
      </w:pPr>
      <w:r>
        <w:separator/>
      </w:r>
    </w:p>
  </w:endnote>
  <w:endnote w:type="continuationSeparator" w:id="0">
    <w:p w14:paraId="36AC6A8E" w14:textId="77777777" w:rsidR="00376288" w:rsidRDefault="00376288"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EUAlbertina">
    <w:altName w:val="EU Albertina"/>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B42C" w14:textId="77777777" w:rsidR="00ED62B9" w:rsidRDefault="00ED62B9" w:rsidP="009C0B06">
    <w:pPr>
      <w:pStyle w:val="Footer"/>
      <w:pBdr>
        <w:bottom w:val="single" w:sz="12" w:space="1" w:color="auto"/>
      </w:pBdr>
      <w:tabs>
        <w:tab w:val="clear" w:pos="9072"/>
        <w:tab w:val="right" w:pos="9356"/>
      </w:tabs>
      <w:jc w:val="right"/>
    </w:pPr>
  </w:p>
  <w:p w14:paraId="681FE58E" w14:textId="77777777" w:rsidR="00ED62B9" w:rsidRDefault="00ED62B9" w:rsidP="0053299B">
    <w:pPr>
      <w:pStyle w:val="Footer"/>
      <w:ind w:right="284"/>
      <w:jc w:val="right"/>
      <w:rPr>
        <w:noProof/>
      </w:rPr>
    </w:pPr>
    <w:r>
      <w:fldChar w:fldCharType="begin"/>
    </w:r>
    <w:r>
      <w:instrText xml:space="preserve"> PAGE   \* MERGEFORMAT </w:instrText>
    </w:r>
    <w:r>
      <w:fldChar w:fldCharType="separate"/>
    </w:r>
    <w:r w:rsidR="00A1601F">
      <w:rPr>
        <w:noProof/>
      </w:rPr>
      <w:t>48</w:t>
    </w:r>
    <w:r>
      <w:rPr>
        <w:noProof/>
      </w:rPr>
      <w:fldChar w:fldCharType="end"/>
    </w:r>
  </w:p>
  <w:p w14:paraId="2AB6762B" w14:textId="745C60F3" w:rsidR="00ED62B9" w:rsidRPr="00BD49D7" w:rsidRDefault="00ED62B9" w:rsidP="00BD49D7">
    <w:pPr>
      <w:pStyle w:val="Footer"/>
      <w:ind w:right="284"/>
      <w:jc w:val="center"/>
    </w:pPr>
    <w:r>
      <w:rPr>
        <w:rFonts w:ascii="Times New Roman" w:hAnsi="Times New Roman"/>
        <w:sz w:val="20"/>
      </w:rPr>
      <w:t xml:space="preserve">Условия за кандидатстване </w:t>
    </w:r>
    <w:r w:rsidRPr="00483618">
      <w:rPr>
        <w:rFonts w:ascii="Times New Roman" w:hAnsi="Times New Roman"/>
        <w:sz w:val="20"/>
      </w:rPr>
      <w:t>BG0</w:t>
    </w:r>
    <w:r>
      <w:rPr>
        <w:rFonts w:ascii="Times New Roman" w:hAnsi="Times New Roman"/>
        <w:sz w:val="20"/>
        <w:lang w:val="en-US"/>
      </w:rPr>
      <w:t>6RDNP001-19.002</w:t>
    </w:r>
    <w:r w:rsidRPr="008916EB">
      <w:rPr>
        <w:b/>
        <w:sz w:val="28"/>
        <w:szCs w:val="28"/>
      </w:rPr>
      <w:t xml:space="preserve"> </w:t>
    </w:r>
    <w:r w:rsidRPr="008916EB">
      <w:rPr>
        <w:rFonts w:ascii="Times New Roman" w:hAnsi="Times New Roman"/>
        <w:sz w:val="20"/>
      </w:rPr>
      <w:t>МИГ_Поморие_10_1_</w:t>
    </w:r>
    <w:r>
      <w:rPr>
        <w:rFonts w:ascii="Times New Roman" w:hAnsi="Times New Roman"/>
        <w:sz w:val="20"/>
        <w:lang w:val="en-US"/>
      </w:rPr>
      <w:t xml:space="preserve">7.2. </w:t>
    </w:r>
    <w:r w:rsidRPr="008916EB">
      <w:rPr>
        <w:rFonts w:ascii="Times New Roman" w:hAnsi="Times New Roman"/>
        <w:sz w:val="20"/>
      </w:rPr>
      <w:t>М4_</w:t>
    </w:r>
    <w:r>
      <w:rPr>
        <w:rFonts w:ascii="Times New Roman" w:hAnsi="Times New Roman"/>
        <w:sz w:val="20"/>
      </w:rPr>
      <w:t>“Инвестиции в създаването, подобряването или разширяването на всички видове малка по мащаби инфраструктура“</w:t>
    </w:r>
  </w:p>
  <w:p w14:paraId="34E01395" w14:textId="77777777" w:rsidR="00ED62B9" w:rsidRDefault="00ED6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C7CEB" w14:textId="77777777" w:rsidR="00376288" w:rsidRDefault="00376288" w:rsidP="002325A3">
      <w:pPr>
        <w:spacing w:after="0" w:line="240" w:lineRule="auto"/>
      </w:pPr>
      <w:r>
        <w:separator/>
      </w:r>
    </w:p>
  </w:footnote>
  <w:footnote w:type="continuationSeparator" w:id="0">
    <w:p w14:paraId="5048C117" w14:textId="77777777" w:rsidR="00376288" w:rsidRDefault="00376288" w:rsidP="002325A3">
      <w:pPr>
        <w:spacing w:after="0" w:line="240" w:lineRule="auto"/>
      </w:pPr>
      <w:r>
        <w:continuationSeparator/>
      </w:r>
    </w:p>
  </w:footnote>
  <w:footnote w:id="1">
    <w:p w14:paraId="3B3B13A0" w14:textId="77777777" w:rsidR="00ED62B9" w:rsidRPr="00D467D3" w:rsidRDefault="00ED62B9">
      <w:pPr>
        <w:pStyle w:val="FootnoteText"/>
        <w:rPr>
          <w:rFonts w:ascii="Times New Roman" w:hAnsi="Times New Roman" w:cs="Times New Roman"/>
        </w:rPr>
      </w:pPr>
      <w:r w:rsidRPr="00D467D3">
        <w:rPr>
          <w:rStyle w:val="FootnoteReference"/>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2EF4AD2F"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Style w:val="FootnoteReference"/>
          <w:rFonts w:ascii="Times New Roman" w:hAnsi="Times New Roman" w:cs="Times New Roman"/>
          <w:sz w:val="20"/>
          <w:szCs w:val="20"/>
        </w:rPr>
        <w:footnoteRef/>
      </w:r>
      <w:r w:rsidRPr="00277F1F">
        <w:rPr>
          <w:rFonts w:ascii="Times New Roman" w:hAnsi="Times New Roman" w:cs="Times New Roman"/>
          <w:sz w:val="20"/>
          <w:szCs w:val="20"/>
        </w:rPr>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14:paraId="7BA49FB7"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а) дадено предприятие притежава мнозинството от гласовете на акционерите или съдружниците в друго предприятие;</w:t>
      </w:r>
    </w:p>
    <w:p w14:paraId="75901FCC"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3520B9BD"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43825F67"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7B92C0CA" w14:textId="77777777" w:rsidR="00ED62B9" w:rsidRPr="002376B3" w:rsidRDefault="00ED62B9" w:rsidP="00277F1F">
      <w:pPr>
        <w:spacing w:after="100" w:afterAutospacing="1"/>
        <w:contextualSpacing/>
        <w:jc w:val="both"/>
        <w:rPr>
          <w:rFonts w:ascii="Times New Roman" w:hAnsi="Times New Roman" w:cs="Times New Roman"/>
        </w:rPr>
      </w:pPr>
      <w:r w:rsidRPr="00277F1F">
        <w:rPr>
          <w:rFonts w:ascii="Times New Roman" w:hAnsi="Times New Roman" w:cs="Times New Roman"/>
          <w:sz w:val="20"/>
          <w:szCs w:val="20"/>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footnote>
  <w:footnote w:id="3">
    <w:p w14:paraId="3E745C1E" w14:textId="77777777" w:rsidR="00ED62B9" w:rsidRPr="00697F20" w:rsidRDefault="00ED62B9" w:rsidP="00697F20">
      <w:pPr>
        <w:pStyle w:val="FootnoteText"/>
        <w:jc w:val="both"/>
        <w:rPr>
          <w:rFonts w:ascii="Times New Roman" w:hAnsi="Times New Roman" w:cs="Times New Roman"/>
        </w:rPr>
      </w:pPr>
      <w:r w:rsidRPr="00697F20">
        <w:rPr>
          <w:rStyle w:val="FootnoteReference"/>
          <w:rFonts w:ascii="Times New Roman" w:hAnsi="Times New Roman" w:cs="Times New Roman"/>
        </w:rPr>
        <w:footnoteRef/>
      </w:r>
      <w:r w:rsidRPr="00697F20">
        <w:rPr>
          <w:rFonts w:ascii="Times New Roman" w:hAnsi="Times New Roman" w:cs="Times New Roman"/>
        </w:rPr>
        <w:t xml:space="preserve"> Минималните изисквания към реда за оценка на проектни предложения към СВОМР са налични на електронен адрес </w:t>
      </w:r>
      <w:hyperlink r:id="rId1" w:history="1">
        <w:r w:rsidRPr="00697F20">
          <w:rPr>
            <w:rStyle w:val="Hyperlink"/>
            <w:rFonts w:ascii="Times New Roman" w:hAnsi="Times New Roman" w:cs="Times New Roman"/>
          </w:rPr>
          <w:t>www.eufunds.bg</w:t>
        </w:r>
      </w:hyperlink>
      <w:r w:rsidRPr="00697F20">
        <w:rPr>
          <w:rFonts w:ascii="Times New Roman" w:hAnsi="Times New Roman" w:cs="Times New Roman"/>
        </w:rP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3A284" w14:textId="17EF3174" w:rsidR="00ED62B9" w:rsidRDefault="00ED62B9" w:rsidP="00B726C2">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i/>
        <w:iCs/>
        <w:noProof/>
        <w:color w:val="7F7F7F" w:themeColor="text1" w:themeTint="80"/>
        <w:sz w:val="20"/>
        <w:szCs w:val="20"/>
        <w:lang w:val="en-US"/>
      </w:rPr>
      <w:drawing>
        <wp:anchor distT="0" distB="0" distL="114300" distR="114300" simplePos="0" relativeHeight="251659264" behindDoc="0" locked="0" layoutInCell="1" allowOverlap="1" wp14:anchorId="017408E6" wp14:editId="1B2FFFED">
          <wp:simplePos x="0" y="0"/>
          <wp:positionH relativeFrom="margin">
            <wp:posOffset>1412240</wp:posOffset>
          </wp:positionH>
          <wp:positionV relativeFrom="paragraph">
            <wp:posOffset>67310</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7F7F7F" w:themeColor="text1" w:themeTint="80"/>
        <w:sz w:val="32"/>
        <w:szCs w:val="32"/>
        <w:lang w:val="en-US"/>
      </w:rPr>
      <w:drawing>
        <wp:anchor distT="0" distB="0" distL="114300" distR="114300" simplePos="0" relativeHeight="251662336" behindDoc="0" locked="0" layoutInCell="1" allowOverlap="1" wp14:anchorId="2700828C" wp14:editId="4E6D68F8">
          <wp:simplePos x="0" y="0"/>
          <wp:positionH relativeFrom="margin">
            <wp:posOffset>2304415</wp:posOffset>
          </wp:positionH>
          <wp:positionV relativeFrom="margin">
            <wp:posOffset>-1884045</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sidRPr="00873634">
      <w:rPr>
        <w:rFonts w:ascii="Times New Roman" w:hAnsi="Times New Roman" w:cs="Times New Roman"/>
        <w:b/>
        <w:i/>
        <w:iCs/>
        <w:noProof/>
        <w:color w:val="7F7F7F" w:themeColor="text1" w:themeTint="80"/>
        <w:sz w:val="20"/>
        <w:szCs w:val="20"/>
        <w:lang w:val="en-US"/>
      </w:rPr>
      <w:drawing>
        <wp:anchor distT="0" distB="0" distL="114300" distR="114300" simplePos="0" relativeHeight="251660288" behindDoc="0" locked="0" layoutInCell="1" allowOverlap="1" wp14:anchorId="782A47A1" wp14:editId="7ADA2748">
          <wp:simplePos x="0" y="0"/>
          <wp:positionH relativeFrom="margin">
            <wp:posOffset>86360</wp:posOffset>
          </wp:positionH>
          <wp:positionV relativeFrom="margin">
            <wp:posOffset>-1859280</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F7F7F" w:themeColor="text1" w:themeTint="80"/>
        <w:sz w:val="32"/>
        <w:szCs w:val="32"/>
      </w:rPr>
      <w:t xml:space="preserve">          </w:t>
    </w:r>
    <w:r w:rsidRPr="00AC5230">
      <w:rPr>
        <w:noProof/>
        <w:lang w:val="en-US"/>
      </w:rPr>
      <w:drawing>
        <wp:inline distT="0" distB="0" distL="0" distR="0" wp14:anchorId="4E48DB59" wp14:editId="5C13C59D">
          <wp:extent cx="1628775" cy="6477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647700"/>
                  </a:xfrm>
                  <a:prstGeom prst="rect">
                    <a:avLst/>
                  </a:prstGeom>
                  <a:noFill/>
                  <a:ln>
                    <a:noFill/>
                  </a:ln>
                </pic:spPr>
              </pic:pic>
            </a:graphicData>
          </a:graphic>
        </wp:inline>
      </w:drawing>
    </w:r>
  </w:p>
  <w:p w14:paraId="40CE659D" w14:textId="1AD0B8B5" w:rsidR="00ED62B9" w:rsidRDefault="00ED62B9" w:rsidP="00B726C2">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color w:val="7F7F7F" w:themeColor="text1" w:themeTint="80"/>
        <w:sz w:val="32"/>
        <w:szCs w:val="32"/>
      </w:rPr>
      <w:t xml:space="preserve">                                               </w:t>
    </w:r>
  </w:p>
  <w:p w14:paraId="68DCF5CB" w14:textId="77777777" w:rsidR="00ED62B9" w:rsidRDefault="00ED62B9" w:rsidP="00254ABD">
    <w:pPr>
      <w:pStyle w:val="Header"/>
      <w:pBdr>
        <w:bottom w:val="double" w:sz="4" w:space="1" w:color="auto"/>
      </w:pBdr>
      <w:tabs>
        <w:tab w:val="left" w:pos="2580"/>
        <w:tab w:val="left" w:pos="2985"/>
      </w:tabs>
      <w:spacing w:line="360" w:lineRule="auto"/>
      <w:rPr>
        <w:rFonts w:ascii="Times New Roman" w:hAnsi="Times New Roman" w:cs="Times New Roman"/>
        <w:b/>
        <w:bCs/>
        <w:i/>
        <w:iCs/>
        <w:spacing w:val="6"/>
        <w:sz w:val="20"/>
        <w:szCs w:val="20"/>
      </w:rPr>
    </w:pPr>
  </w:p>
  <w:p w14:paraId="7B632E9F" w14:textId="501419BD" w:rsidR="00ED62B9" w:rsidRPr="00D54185" w:rsidRDefault="00ED62B9" w:rsidP="00B726C2">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sidRPr="00603125">
      <w:rPr>
        <w:rFonts w:ascii="Times New Roman" w:hAnsi="Times New Roman" w:cs="Times New Roman"/>
        <w:b/>
        <w:bCs/>
        <w:i/>
        <w:iCs/>
        <w:spacing w:val="6"/>
        <w:sz w:val="20"/>
        <w:szCs w:val="20"/>
      </w:rPr>
      <w:t>Европейски</w:t>
    </w:r>
    <w:r w:rsidRPr="00D54185">
      <w:rPr>
        <w:rFonts w:ascii="Times New Roman" w:hAnsi="Times New Roman" w:cs="Times New Roman"/>
        <w:b/>
        <w:bCs/>
        <w:i/>
        <w:iCs/>
        <w:spacing w:val="6"/>
        <w:sz w:val="20"/>
        <w:szCs w:val="20"/>
      </w:rPr>
      <w:t xml:space="preserve"> земеделски фонд за развитие на </w:t>
    </w:r>
    <w:r w:rsidRPr="001E479C">
      <w:rPr>
        <w:rFonts w:ascii="Times New Roman" w:hAnsi="Times New Roman" w:cs="Times New Roman"/>
        <w:b/>
        <w:bCs/>
        <w:i/>
        <w:iCs/>
        <w:spacing w:val="6"/>
        <w:sz w:val="20"/>
        <w:szCs w:val="20"/>
      </w:rPr>
      <w:t>селските</w:t>
    </w:r>
    <w:r w:rsidRPr="00D54185">
      <w:rPr>
        <w:rFonts w:ascii="Times New Roman" w:hAnsi="Times New Roman" w:cs="Times New Roman"/>
        <w:b/>
        <w:bCs/>
        <w:i/>
        <w:iCs/>
        <w:spacing w:val="6"/>
        <w:sz w:val="20"/>
        <w:szCs w:val="20"/>
      </w:rPr>
      <w:t xml:space="preserve"> райони: </w:t>
    </w:r>
    <w:r>
      <w:rPr>
        <w:rFonts w:ascii="Times New Roman" w:hAnsi="Times New Roman" w:cs="Times New Roman"/>
        <w:b/>
        <w:bCs/>
        <w:i/>
        <w:iCs/>
        <w:spacing w:val="6"/>
        <w:sz w:val="20"/>
        <w:szCs w:val="20"/>
      </w:rPr>
      <w:t xml:space="preserve"> </w:t>
    </w:r>
    <w:r w:rsidRPr="00D54185">
      <w:rPr>
        <w:rFonts w:ascii="Times New Roman" w:hAnsi="Times New Roman" w:cs="Times New Roman"/>
        <w:b/>
        <w:bCs/>
        <w:i/>
        <w:iCs/>
        <w:spacing w:val="6"/>
        <w:sz w:val="20"/>
        <w:szCs w:val="20"/>
      </w:rPr>
      <w:t>Европа инвестира в селските райони</w:t>
    </w:r>
    <w:r>
      <w:rPr>
        <w:rFonts w:ascii="Times New Roman" w:hAnsi="Times New Roman" w:cs="Times New Roman"/>
        <w:b/>
        <w:bCs/>
        <w:i/>
        <w:iCs/>
        <w:spacing w:val="6"/>
        <w:sz w:val="20"/>
        <w:szCs w:val="20"/>
      </w:rPr>
      <w:t xml:space="preserve">                                                                                                                                    </w:t>
    </w:r>
  </w:p>
  <w:p w14:paraId="0794C70B" w14:textId="77777777" w:rsidR="00ED62B9" w:rsidRDefault="00ED62B9" w:rsidP="004E4497">
    <w:pPr>
      <w:spacing w:after="0" w:line="276" w:lineRule="auto"/>
      <w:outlineLvl w:val="0"/>
      <w:rPr>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3C22D7"/>
    <w:multiLevelType w:val="hybridMultilevel"/>
    <w:tmpl w:val="8AA8B93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A173D8F"/>
    <w:multiLevelType w:val="multilevel"/>
    <w:tmpl w:val="C69C0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AF0F13"/>
    <w:multiLevelType w:val="hybridMultilevel"/>
    <w:tmpl w:val="E23EF69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6">
    <w:nsid w:val="1F4D0930"/>
    <w:multiLevelType w:val="hybridMultilevel"/>
    <w:tmpl w:val="73061BD0"/>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F9C6234"/>
    <w:multiLevelType w:val="hybridMultilevel"/>
    <w:tmpl w:val="7318F06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8">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9">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7D9"/>
    <w:multiLevelType w:val="hybridMultilevel"/>
    <w:tmpl w:val="8252F124"/>
    <w:lvl w:ilvl="0" w:tplc="ED4E85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B6407CE"/>
    <w:multiLevelType w:val="hybridMultilevel"/>
    <w:tmpl w:val="F2C2B7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F856D4"/>
    <w:multiLevelType w:val="hybridMultilevel"/>
    <w:tmpl w:val="81226EAC"/>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6C3F7903"/>
    <w:multiLevelType w:val="multilevel"/>
    <w:tmpl w:val="C69C0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B3C034F"/>
    <w:multiLevelType w:val="hybridMultilevel"/>
    <w:tmpl w:val="9558BA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2"/>
  </w:num>
  <w:num w:numId="4">
    <w:abstractNumId w:val="8"/>
  </w:num>
  <w:num w:numId="5">
    <w:abstractNumId w:val="14"/>
  </w:num>
  <w:num w:numId="6">
    <w:abstractNumId w:val="2"/>
  </w:num>
  <w:num w:numId="7">
    <w:abstractNumId w:val="9"/>
  </w:num>
  <w:num w:numId="8">
    <w:abstractNumId w:val="12"/>
  </w:num>
  <w:num w:numId="9">
    <w:abstractNumId w:val="0"/>
  </w:num>
  <w:num w:numId="10">
    <w:abstractNumId w:val="16"/>
  </w:num>
  <w:num w:numId="11">
    <w:abstractNumId w:val="11"/>
  </w:num>
  <w:num w:numId="12">
    <w:abstractNumId w:val="4"/>
  </w:num>
  <w:num w:numId="13">
    <w:abstractNumId w:val="6"/>
  </w:num>
  <w:num w:numId="14">
    <w:abstractNumId w:val="19"/>
  </w:num>
  <w:num w:numId="15">
    <w:abstractNumId w:val="7"/>
  </w:num>
  <w:num w:numId="16">
    <w:abstractNumId w:val="5"/>
  </w:num>
  <w:num w:numId="17">
    <w:abstractNumId w:val="20"/>
  </w:num>
  <w:num w:numId="18">
    <w:abstractNumId w:val="1"/>
  </w:num>
  <w:num w:numId="19">
    <w:abstractNumId w:val="15"/>
  </w:num>
  <w:num w:numId="20">
    <w:abstractNumId w:val="17"/>
  </w:num>
  <w:num w:numId="21">
    <w:abstractNumId w:val="13"/>
  </w:num>
  <w:num w:numId="22">
    <w:abstractNumId w:val="10"/>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4"/>
    <w:rsid w:val="000023B4"/>
    <w:rsid w:val="00002EB0"/>
    <w:rsid w:val="00003CF0"/>
    <w:rsid w:val="00004D24"/>
    <w:rsid w:val="000060FA"/>
    <w:rsid w:val="0000793A"/>
    <w:rsid w:val="00007A2C"/>
    <w:rsid w:val="00007D9A"/>
    <w:rsid w:val="0001043B"/>
    <w:rsid w:val="000115A9"/>
    <w:rsid w:val="00012FE9"/>
    <w:rsid w:val="0001460B"/>
    <w:rsid w:val="000169F0"/>
    <w:rsid w:val="000231F8"/>
    <w:rsid w:val="00023EC6"/>
    <w:rsid w:val="00024F16"/>
    <w:rsid w:val="00025639"/>
    <w:rsid w:val="00025F25"/>
    <w:rsid w:val="00030119"/>
    <w:rsid w:val="000301EA"/>
    <w:rsid w:val="00030653"/>
    <w:rsid w:val="00030C9C"/>
    <w:rsid w:val="0003115B"/>
    <w:rsid w:val="00031639"/>
    <w:rsid w:val="00031949"/>
    <w:rsid w:val="00031A8C"/>
    <w:rsid w:val="00031D4A"/>
    <w:rsid w:val="00032BF1"/>
    <w:rsid w:val="000337E9"/>
    <w:rsid w:val="00033DE6"/>
    <w:rsid w:val="00034230"/>
    <w:rsid w:val="0003460D"/>
    <w:rsid w:val="00035BF0"/>
    <w:rsid w:val="00036400"/>
    <w:rsid w:val="000409A1"/>
    <w:rsid w:val="0004418A"/>
    <w:rsid w:val="00044DFD"/>
    <w:rsid w:val="000453BA"/>
    <w:rsid w:val="0004629F"/>
    <w:rsid w:val="000463FB"/>
    <w:rsid w:val="000467E3"/>
    <w:rsid w:val="00050091"/>
    <w:rsid w:val="00050127"/>
    <w:rsid w:val="00050480"/>
    <w:rsid w:val="0005088E"/>
    <w:rsid w:val="00050D51"/>
    <w:rsid w:val="00051212"/>
    <w:rsid w:val="00051741"/>
    <w:rsid w:val="0005189B"/>
    <w:rsid w:val="0005252A"/>
    <w:rsid w:val="00052675"/>
    <w:rsid w:val="0005314A"/>
    <w:rsid w:val="00053A39"/>
    <w:rsid w:val="00055371"/>
    <w:rsid w:val="000553B8"/>
    <w:rsid w:val="00056238"/>
    <w:rsid w:val="00057EEE"/>
    <w:rsid w:val="0006081F"/>
    <w:rsid w:val="0006155D"/>
    <w:rsid w:val="0006180A"/>
    <w:rsid w:val="000621E7"/>
    <w:rsid w:val="00062953"/>
    <w:rsid w:val="00064F43"/>
    <w:rsid w:val="00066376"/>
    <w:rsid w:val="00070FF8"/>
    <w:rsid w:val="0007304D"/>
    <w:rsid w:val="0007516F"/>
    <w:rsid w:val="0007572B"/>
    <w:rsid w:val="00075CCB"/>
    <w:rsid w:val="00076BB2"/>
    <w:rsid w:val="00076BEE"/>
    <w:rsid w:val="000806CA"/>
    <w:rsid w:val="0008232F"/>
    <w:rsid w:val="00083B75"/>
    <w:rsid w:val="00084DA8"/>
    <w:rsid w:val="000850FD"/>
    <w:rsid w:val="00086BE6"/>
    <w:rsid w:val="00091B9D"/>
    <w:rsid w:val="00092C32"/>
    <w:rsid w:val="00093CB8"/>
    <w:rsid w:val="00094A7C"/>
    <w:rsid w:val="00094C88"/>
    <w:rsid w:val="000968B1"/>
    <w:rsid w:val="0009715C"/>
    <w:rsid w:val="000978F4"/>
    <w:rsid w:val="000A085D"/>
    <w:rsid w:val="000A0E65"/>
    <w:rsid w:val="000A1006"/>
    <w:rsid w:val="000A1692"/>
    <w:rsid w:val="000A29C9"/>
    <w:rsid w:val="000A2AD2"/>
    <w:rsid w:val="000A3B8A"/>
    <w:rsid w:val="000A44DC"/>
    <w:rsid w:val="000A48F7"/>
    <w:rsid w:val="000A5300"/>
    <w:rsid w:val="000A6535"/>
    <w:rsid w:val="000A6C79"/>
    <w:rsid w:val="000B0A5C"/>
    <w:rsid w:val="000B0E7A"/>
    <w:rsid w:val="000B172D"/>
    <w:rsid w:val="000B2CAC"/>
    <w:rsid w:val="000B3E65"/>
    <w:rsid w:val="000B5C62"/>
    <w:rsid w:val="000B6C99"/>
    <w:rsid w:val="000B6CB1"/>
    <w:rsid w:val="000B7C4D"/>
    <w:rsid w:val="000B7F52"/>
    <w:rsid w:val="000C0C0A"/>
    <w:rsid w:val="000C1ED2"/>
    <w:rsid w:val="000C2033"/>
    <w:rsid w:val="000C2D3F"/>
    <w:rsid w:val="000C3E7C"/>
    <w:rsid w:val="000C48B0"/>
    <w:rsid w:val="000C5833"/>
    <w:rsid w:val="000C7BDC"/>
    <w:rsid w:val="000C7DC3"/>
    <w:rsid w:val="000D043C"/>
    <w:rsid w:val="000D0652"/>
    <w:rsid w:val="000D11C9"/>
    <w:rsid w:val="000D139D"/>
    <w:rsid w:val="000D1F24"/>
    <w:rsid w:val="000D3C1D"/>
    <w:rsid w:val="000D7711"/>
    <w:rsid w:val="000D7807"/>
    <w:rsid w:val="000D7FAC"/>
    <w:rsid w:val="000E0306"/>
    <w:rsid w:val="000E0370"/>
    <w:rsid w:val="000E15ED"/>
    <w:rsid w:val="000E1D9C"/>
    <w:rsid w:val="000E23D5"/>
    <w:rsid w:val="000E24D4"/>
    <w:rsid w:val="000E266C"/>
    <w:rsid w:val="000E27CF"/>
    <w:rsid w:val="000E2A16"/>
    <w:rsid w:val="000E300D"/>
    <w:rsid w:val="000E528F"/>
    <w:rsid w:val="000E64D7"/>
    <w:rsid w:val="000E733F"/>
    <w:rsid w:val="000E76B2"/>
    <w:rsid w:val="000E7ACB"/>
    <w:rsid w:val="000F3895"/>
    <w:rsid w:val="000F39B0"/>
    <w:rsid w:val="000F3B2B"/>
    <w:rsid w:val="000F4269"/>
    <w:rsid w:val="000F4530"/>
    <w:rsid w:val="000F48CF"/>
    <w:rsid w:val="000F79CE"/>
    <w:rsid w:val="0010018A"/>
    <w:rsid w:val="001008F1"/>
    <w:rsid w:val="00102617"/>
    <w:rsid w:val="001028C1"/>
    <w:rsid w:val="001028F7"/>
    <w:rsid w:val="00103C6B"/>
    <w:rsid w:val="00103CE2"/>
    <w:rsid w:val="001040FA"/>
    <w:rsid w:val="00105C86"/>
    <w:rsid w:val="00105E90"/>
    <w:rsid w:val="00106C0C"/>
    <w:rsid w:val="00107F3D"/>
    <w:rsid w:val="001101A8"/>
    <w:rsid w:val="0011020E"/>
    <w:rsid w:val="00111693"/>
    <w:rsid w:val="00111F7B"/>
    <w:rsid w:val="0011229E"/>
    <w:rsid w:val="00112E6B"/>
    <w:rsid w:val="00113853"/>
    <w:rsid w:val="00114075"/>
    <w:rsid w:val="0011499C"/>
    <w:rsid w:val="00114FDA"/>
    <w:rsid w:val="00117F3E"/>
    <w:rsid w:val="001207B0"/>
    <w:rsid w:val="00120E24"/>
    <w:rsid w:val="001214E1"/>
    <w:rsid w:val="00122A71"/>
    <w:rsid w:val="00122B6A"/>
    <w:rsid w:val="00122EE7"/>
    <w:rsid w:val="001246F0"/>
    <w:rsid w:val="00125228"/>
    <w:rsid w:val="00125D0C"/>
    <w:rsid w:val="00126219"/>
    <w:rsid w:val="00126ABF"/>
    <w:rsid w:val="00126D51"/>
    <w:rsid w:val="00126E4D"/>
    <w:rsid w:val="00126F02"/>
    <w:rsid w:val="00127971"/>
    <w:rsid w:val="00130825"/>
    <w:rsid w:val="00131C8C"/>
    <w:rsid w:val="00132B9C"/>
    <w:rsid w:val="00132E8E"/>
    <w:rsid w:val="00132F68"/>
    <w:rsid w:val="001333FF"/>
    <w:rsid w:val="00134F4D"/>
    <w:rsid w:val="001369FC"/>
    <w:rsid w:val="0013726B"/>
    <w:rsid w:val="001376AA"/>
    <w:rsid w:val="00137918"/>
    <w:rsid w:val="00137CCA"/>
    <w:rsid w:val="00140F53"/>
    <w:rsid w:val="00141B4A"/>
    <w:rsid w:val="001427F5"/>
    <w:rsid w:val="001429BC"/>
    <w:rsid w:val="00143716"/>
    <w:rsid w:val="00143CDC"/>
    <w:rsid w:val="0014603D"/>
    <w:rsid w:val="00146263"/>
    <w:rsid w:val="00146782"/>
    <w:rsid w:val="001472A9"/>
    <w:rsid w:val="0014752A"/>
    <w:rsid w:val="00151627"/>
    <w:rsid w:val="001537CA"/>
    <w:rsid w:val="00153C49"/>
    <w:rsid w:val="00155F3F"/>
    <w:rsid w:val="0015661E"/>
    <w:rsid w:val="0015716B"/>
    <w:rsid w:val="00157A71"/>
    <w:rsid w:val="0016135A"/>
    <w:rsid w:val="00161D6B"/>
    <w:rsid w:val="00161DFF"/>
    <w:rsid w:val="0016317B"/>
    <w:rsid w:val="00164623"/>
    <w:rsid w:val="00164ABC"/>
    <w:rsid w:val="00165459"/>
    <w:rsid w:val="00167E6C"/>
    <w:rsid w:val="00170A94"/>
    <w:rsid w:val="00171F31"/>
    <w:rsid w:val="001724A4"/>
    <w:rsid w:val="00172B10"/>
    <w:rsid w:val="001737C2"/>
    <w:rsid w:val="0017509D"/>
    <w:rsid w:val="00176BD7"/>
    <w:rsid w:val="00177AC9"/>
    <w:rsid w:val="001812F7"/>
    <w:rsid w:val="001832F3"/>
    <w:rsid w:val="00183A57"/>
    <w:rsid w:val="0018402D"/>
    <w:rsid w:val="0018473D"/>
    <w:rsid w:val="00187FC2"/>
    <w:rsid w:val="001908BE"/>
    <w:rsid w:val="00193417"/>
    <w:rsid w:val="00194CB8"/>
    <w:rsid w:val="00196A7A"/>
    <w:rsid w:val="001A0477"/>
    <w:rsid w:val="001A10B1"/>
    <w:rsid w:val="001A40C2"/>
    <w:rsid w:val="001A5DFD"/>
    <w:rsid w:val="001B3143"/>
    <w:rsid w:val="001B36AA"/>
    <w:rsid w:val="001B3E49"/>
    <w:rsid w:val="001B3EA6"/>
    <w:rsid w:val="001B6AB1"/>
    <w:rsid w:val="001B7383"/>
    <w:rsid w:val="001B757C"/>
    <w:rsid w:val="001C015F"/>
    <w:rsid w:val="001C073C"/>
    <w:rsid w:val="001C08F3"/>
    <w:rsid w:val="001C0BDE"/>
    <w:rsid w:val="001C0CD4"/>
    <w:rsid w:val="001C1086"/>
    <w:rsid w:val="001C1656"/>
    <w:rsid w:val="001C3491"/>
    <w:rsid w:val="001C4331"/>
    <w:rsid w:val="001C50FC"/>
    <w:rsid w:val="001C5F75"/>
    <w:rsid w:val="001C7383"/>
    <w:rsid w:val="001C75EE"/>
    <w:rsid w:val="001C7A55"/>
    <w:rsid w:val="001D09EC"/>
    <w:rsid w:val="001D0B5A"/>
    <w:rsid w:val="001D19B0"/>
    <w:rsid w:val="001D20BD"/>
    <w:rsid w:val="001D25CD"/>
    <w:rsid w:val="001D3565"/>
    <w:rsid w:val="001D687A"/>
    <w:rsid w:val="001D6EC9"/>
    <w:rsid w:val="001D79C3"/>
    <w:rsid w:val="001E0887"/>
    <w:rsid w:val="001E31CF"/>
    <w:rsid w:val="001E3FB7"/>
    <w:rsid w:val="001E48A6"/>
    <w:rsid w:val="001E5240"/>
    <w:rsid w:val="001E76D6"/>
    <w:rsid w:val="001F1338"/>
    <w:rsid w:val="001F19BE"/>
    <w:rsid w:val="001F3048"/>
    <w:rsid w:val="001F3B97"/>
    <w:rsid w:val="001F4EAF"/>
    <w:rsid w:val="001F4F5B"/>
    <w:rsid w:val="001F506C"/>
    <w:rsid w:val="001F67E8"/>
    <w:rsid w:val="001F695D"/>
    <w:rsid w:val="001F6AFD"/>
    <w:rsid w:val="001F6E67"/>
    <w:rsid w:val="001F6EAE"/>
    <w:rsid w:val="00200B88"/>
    <w:rsid w:val="0020131E"/>
    <w:rsid w:val="00202B5E"/>
    <w:rsid w:val="00204EBA"/>
    <w:rsid w:val="00205278"/>
    <w:rsid w:val="002052A9"/>
    <w:rsid w:val="0021063C"/>
    <w:rsid w:val="00211624"/>
    <w:rsid w:val="00212DA1"/>
    <w:rsid w:val="0021417F"/>
    <w:rsid w:val="002145AF"/>
    <w:rsid w:val="002147B7"/>
    <w:rsid w:val="00215ED0"/>
    <w:rsid w:val="002163CC"/>
    <w:rsid w:val="00220327"/>
    <w:rsid w:val="00220334"/>
    <w:rsid w:val="00220BE2"/>
    <w:rsid w:val="00220E89"/>
    <w:rsid w:val="00221D88"/>
    <w:rsid w:val="002224BE"/>
    <w:rsid w:val="0022341C"/>
    <w:rsid w:val="0022365A"/>
    <w:rsid w:val="00224D80"/>
    <w:rsid w:val="002268D1"/>
    <w:rsid w:val="0022714A"/>
    <w:rsid w:val="0022761F"/>
    <w:rsid w:val="00230B67"/>
    <w:rsid w:val="00230E39"/>
    <w:rsid w:val="002319E1"/>
    <w:rsid w:val="00231C6B"/>
    <w:rsid w:val="002325A3"/>
    <w:rsid w:val="00232674"/>
    <w:rsid w:val="00232B7D"/>
    <w:rsid w:val="002347A2"/>
    <w:rsid w:val="00235E9E"/>
    <w:rsid w:val="00235FF1"/>
    <w:rsid w:val="0023606E"/>
    <w:rsid w:val="00236649"/>
    <w:rsid w:val="00236C71"/>
    <w:rsid w:val="00237204"/>
    <w:rsid w:val="00237BC8"/>
    <w:rsid w:val="00237E57"/>
    <w:rsid w:val="0024057E"/>
    <w:rsid w:val="00242F63"/>
    <w:rsid w:val="0024413F"/>
    <w:rsid w:val="00244BFD"/>
    <w:rsid w:val="00244CF0"/>
    <w:rsid w:val="002455DD"/>
    <w:rsid w:val="00245AA2"/>
    <w:rsid w:val="00245C8D"/>
    <w:rsid w:val="002472B1"/>
    <w:rsid w:val="00250015"/>
    <w:rsid w:val="002500E7"/>
    <w:rsid w:val="00250470"/>
    <w:rsid w:val="0025139B"/>
    <w:rsid w:val="00251820"/>
    <w:rsid w:val="00253787"/>
    <w:rsid w:val="00253A0E"/>
    <w:rsid w:val="00253C6A"/>
    <w:rsid w:val="00254ABD"/>
    <w:rsid w:val="00254ADE"/>
    <w:rsid w:val="002579C2"/>
    <w:rsid w:val="00260566"/>
    <w:rsid w:val="00261ABA"/>
    <w:rsid w:val="00261BCB"/>
    <w:rsid w:val="0026201E"/>
    <w:rsid w:val="002624D0"/>
    <w:rsid w:val="00262C07"/>
    <w:rsid w:val="00263044"/>
    <w:rsid w:val="00264BBA"/>
    <w:rsid w:val="00264ECA"/>
    <w:rsid w:val="00267100"/>
    <w:rsid w:val="00267B72"/>
    <w:rsid w:val="002705DF"/>
    <w:rsid w:val="002709D4"/>
    <w:rsid w:val="00272027"/>
    <w:rsid w:val="0027248D"/>
    <w:rsid w:val="00274833"/>
    <w:rsid w:val="00274D04"/>
    <w:rsid w:val="00277F1F"/>
    <w:rsid w:val="002806B6"/>
    <w:rsid w:val="002813DB"/>
    <w:rsid w:val="002816B9"/>
    <w:rsid w:val="00281DFE"/>
    <w:rsid w:val="002878FA"/>
    <w:rsid w:val="00290559"/>
    <w:rsid w:val="00294470"/>
    <w:rsid w:val="0029462F"/>
    <w:rsid w:val="00295036"/>
    <w:rsid w:val="002953B4"/>
    <w:rsid w:val="00295C49"/>
    <w:rsid w:val="00296038"/>
    <w:rsid w:val="0029608B"/>
    <w:rsid w:val="0029705C"/>
    <w:rsid w:val="0029712A"/>
    <w:rsid w:val="00297C8B"/>
    <w:rsid w:val="002A18BB"/>
    <w:rsid w:val="002A2037"/>
    <w:rsid w:val="002A2BF5"/>
    <w:rsid w:val="002A35B4"/>
    <w:rsid w:val="002A382A"/>
    <w:rsid w:val="002A55AE"/>
    <w:rsid w:val="002A71B9"/>
    <w:rsid w:val="002B1FBF"/>
    <w:rsid w:val="002B3008"/>
    <w:rsid w:val="002B3638"/>
    <w:rsid w:val="002B3AA0"/>
    <w:rsid w:val="002B3C18"/>
    <w:rsid w:val="002B3C9E"/>
    <w:rsid w:val="002B3CA2"/>
    <w:rsid w:val="002B47B4"/>
    <w:rsid w:val="002B4BA9"/>
    <w:rsid w:val="002B4F5F"/>
    <w:rsid w:val="002B60BF"/>
    <w:rsid w:val="002B6869"/>
    <w:rsid w:val="002B7CE6"/>
    <w:rsid w:val="002C08E5"/>
    <w:rsid w:val="002C203F"/>
    <w:rsid w:val="002C22A0"/>
    <w:rsid w:val="002C2E1C"/>
    <w:rsid w:val="002C33B3"/>
    <w:rsid w:val="002C5153"/>
    <w:rsid w:val="002C5DDA"/>
    <w:rsid w:val="002C6263"/>
    <w:rsid w:val="002C62F4"/>
    <w:rsid w:val="002C6D30"/>
    <w:rsid w:val="002D0110"/>
    <w:rsid w:val="002D0F7C"/>
    <w:rsid w:val="002D3CC2"/>
    <w:rsid w:val="002D4B6A"/>
    <w:rsid w:val="002D699C"/>
    <w:rsid w:val="002E167B"/>
    <w:rsid w:val="002E2406"/>
    <w:rsid w:val="002E2814"/>
    <w:rsid w:val="002E2B58"/>
    <w:rsid w:val="002E367E"/>
    <w:rsid w:val="002E3F64"/>
    <w:rsid w:val="002E53B9"/>
    <w:rsid w:val="002E5982"/>
    <w:rsid w:val="002E611C"/>
    <w:rsid w:val="002E634F"/>
    <w:rsid w:val="002E759A"/>
    <w:rsid w:val="002F0867"/>
    <w:rsid w:val="002F0B90"/>
    <w:rsid w:val="002F2236"/>
    <w:rsid w:val="002F343F"/>
    <w:rsid w:val="002F366F"/>
    <w:rsid w:val="002F38F1"/>
    <w:rsid w:val="002F3A94"/>
    <w:rsid w:val="002F3B1E"/>
    <w:rsid w:val="002F3F48"/>
    <w:rsid w:val="002F4672"/>
    <w:rsid w:val="002F469E"/>
    <w:rsid w:val="002F65FC"/>
    <w:rsid w:val="002F6DF2"/>
    <w:rsid w:val="00300850"/>
    <w:rsid w:val="00302CD6"/>
    <w:rsid w:val="00303BC8"/>
    <w:rsid w:val="00303E98"/>
    <w:rsid w:val="003042E0"/>
    <w:rsid w:val="003046F0"/>
    <w:rsid w:val="00305F4F"/>
    <w:rsid w:val="00311677"/>
    <w:rsid w:val="003116BD"/>
    <w:rsid w:val="00312A31"/>
    <w:rsid w:val="003140CA"/>
    <w:rsid w:val="00315830"/>
    <w:rsid w:val="0031630B"/>
    <w:rsid w:val="00316CEC"/>
    <w:rsid w:val="00317963"/>
    <w:rsid w:val="00321C67"/>
    <w:rsid w:val="003220F5"/>
    <w:rsid w:val="00322459"/>
    <w:rsid w:val="00322E88"/>
    <w:rsid w:val="00323C49"/>
    <w:rsid w:val="00323E9F"/>
    <w:rsid w:val="0032490A"/>
    <w:rsid w:val="00324F0A"/>
    <w:rsid w:val="00325CC3"/>
    <w:rsid w:val="003264E0"/>
    <w:rsid w:val="00326D21"/>
    <w:rsid w:val="003272EC"/>
    <w:rsid w:val="003273B2"/>
    <w:rsid w:val="00327E37"/>
    <w:rsid w:val="00331B20"/>
    <w:rsid w:val="00331FD5"/>
    <w:rsid w:val="00333B38"/>
    <w:rsid w:val="00333B66"/>
    <w:rsid w:val="00333F4D"/>
    <w:rsid w:val="00335E13"/>
    <w:rsid w:val="00336771"/>
    <w:rsid w:val="00336A40"/>
    <w:rsid w:val="00337BD3"/>
    <w:rsid w:val="00340550"/>
    <w:rsid w:val="003405B9"/>
    <w:rsid w:val="00341037"/>
    <w:rsid w:val="00341C34"/>
    <w:rsid w:val="003429B7"/>
    <w:rsid w:val="00342B4D"/>
    <w:rsid w:val="00342CC2"/>
    <w:rsid w:val="00345DE7"/>
    <w:rsid w:val="00347CC2"/>
    <w:rsid w:val="00347F47"/>
    <w:rsid w:val="0035007C"/>
    <w:rsid w:val="003515F3"/>
    <w:rsid w:val="0035201E"/>
    <w:rsid w:val="00353F5A"/>
    <w:rsid w:val="0035525C"/>
    <w:rsid w:val="0035532D"/>
    <w:rsid w:val="00355CDE"/>
    <w:rsid w:val="00356739"/>
    <w:rsid w:val="00356774"/>
    <w:rsid w:val="00356B86"/>
    <w:rsid w:val="00357229"/>
    <w:rsid w:val="00357A86"/>
    <w:rsid w:val="00357E43"/>
    <w:rsid w:val="00363F09"/>
    <w:rsid w:val="00364537"/>
    <w:rsid w:val="003665A2"/>
    <w:rsid w:val="0037093B"/>
    <w:rsid w:val="00370BCD"/>
    <w:rsid w:val="0037133D"/>
    <w:rsid w:val="0037199F"/>
    <w:rsid w:val="00371A4E"/>
    <w:rsid w:val="00371D3E"/>
    <w:rsid w:val="003721FA"/>
    <w:rsid w:val="00372DBF"/>
    <w:rsid w:val="00374478"/>
    <w:rsid w:val="003750CE"/>
    <w:rsid w:val="00375B01"/>
    <w:rsid w:val="00375E6F"/>
    <w:rsid w:val="00376288"/>
    <w:rsid w:val="003807C9"/>
    <w:rsid w:val="00380DE3"/>
    <w:rsid w:val="00381590"/>
    <w:rsid w:val="00383159"/>
    <w:rsid w:val="00383FCC"/>
    <w:rsid w:val="00384F72"/>
    <w:rsid w:val="0038561F"/>
    <w:rsid w:val="00385E4E"/>
    <w:rsid w:val="00391B57"/>
    <w:rsid w:val="0039200E"/>
    <w:rsid w:val="00393E4C"/>
    <w:rsid w:val="00396874"/>
    <w:rsid w:val="003973F2"/>
    <w:rsid w:val="003974D6"/>
    <w:rsid w:val="00397C20"/>
    <w:rsid w:val="003A00F2"/>
    <w:rsid w:val="003A23A1"/>
    <w:rsid w:val="003A2D4B"/>
    <w:rsid w:val="003A2F8C"/>
    <w:rsid w:val="003A3B4D"/>
    <w:rsid w:val="003A3FA0"/>
    <w:rsid w:val="003A4AA9"/>
    <w:rsid w:val="003A4E3A"/>
    <w:rsid w:val="003A60BB"/>
    <w:rsid w:val="003A69A8"/>
    <w:rsid w:val="003A71D9"/>
    <w:rsid w:val="003A76CA"/>
    <w:rsid w:val="003A7E60"/>
    <w:rsid w:val="003B0E91"/>
    <w:rsid w:val="003B1E2B"/>
    <w:rsid w:val="003B2B99"/>
    <w:rsid w:val="003B6561"/>
    <w:rsid w:val="003C1B50"/>
    <w:rsid w:val="003C1DEB"/>
    <w:rsid w:val="003C1FA4"/>
    <w:rsid w:val="003C2424"/>
    <w:rsid w:val="003C25DD"/>
    <w:rsid w:val="003C2E2D"/>
    <w:rsid w:val="003C3D76"/>
    <w:rsid w:val="003C3FFC"/>
    <w:rsid w:val="003D18FC"/>
    <w:rsid w:val="003D2862"/>
    <w:rsid w:val="003D360D"/>
    <w:rsid w:val="003D4307"/>
    <w:rsid w:val="003D4610"/>
    <w:rsid w:val="003D4C55"/>
    <w:rsid w:val="003D54AF"/>
    <w:rsid w:val="003D562F"/>
    <w:rsid w:val="003D58D9"/>
    <w:rsid w:val="003D7F6B"/>
    <w:rsid w:val="003E05FD"/>
    <w:rsid w:val="003E08A5"/>
    <w:rsid w:val="003E11F7"/>
    <w:rsid w:val="003E1A50"/>
    <w:rsid w:val="003E1AA8"/>
    <w:rsid w:val="003E34D6"/>
    <w:rsid w:val="003E44C0"/>
    <w:rsid w:val="003E462F"/>
    <w:rsid w:val="003E5AB2"/>
    <w:rsid w:val="003E6A13"/>
    <w:rsid w:val="003E719F"/>
    <w:rsid w:val="003F2354"/>
    <w:rsid w:val="003F294E"/>
    <w:rsid w:val="003F5080"/>
    <w:rsid w:val="003F5861"/>
    <w:rsid w:val="003F58E8"/>
    <w:rsid w:val="003F6C91"/>
    <w:rsid w:val="00400A7B"/>
    <w:rsid w:val="00400C93"/>
    <w:rsid w:val="00401464"/>
    <w:rsid w:val="004027D6"/>
    <w:rsid w:val="00403266"/>
    <w:rsid w:val="00403716"/>
    <w:rsid w:val="0040380A"/>
    <w:rsid w:val="00403863"/>
    <w:rsid w:val="00404799"/>
    <w:rsid w:val="00405266"/>
    <w:rsid w:val="00406230"/>
    <w:rsid w:val="00410B44"/>
    <w:rsid w:val="004126E4"/>
    <w:rsid w:val="004128AD"/>
    <w:rsid w:val="00412CF4"/>
    <w:rsid w:val="00413206"/>
    <w:rsid w:val="00414368"/>
    <w:rsid w:val="004145EF"/>
    <w:rsid w:val="004149EB"/>
    <w:rsid w:val="00415338"/>
    <w:rsid w:val="00415643"/>
    <w:rsid w:val="00416699"/>
    <w:rsid w:val="004169FF"/>
    <w:rsid w:val="00417C6A"/>
    <w:rsid w:val="00420A7C"/>
    <w:rsid w:val="004212D4"/>
    <w:rsid w:val="004222E7"/>
    <w:rsid w:val="0042350F"/>
    <w:rsid w:val="00423E47"/>
    <w:rsid w:val="0042588E"/>
    <w:rsid w:val="00425BCB"/>
    <w:rsid w:val="004262C1"/>
    <w:rsid w:val="00426A0E"/>
    <w:rsid w:val="00426B6C"/>
    <w:rsid w:val="0042733A"/>
    <w:rsid w:val="0042749C"/>
    <w:rsid w:val="00431999"/>
    <w:rsid w:val="004327D4"/>
    <w:rsid w:val="004335B3"/>
    <w:rsid w:val="004336BB"/>
    <w:rsid w:val="00434BBA"/>
    <w:rsid w:val="00434C5D"/>
    <w:rsid w:val="00434E0A"/>
    <w:rsid w:val="00435AAD"/>
    <w:rsid w:val="004365A0"/>
    <w:rsid w:val="00437317"/>
    <w:rsid w:val="00442CB3"/>
    <w:rsid w:val="00442E1D"/>
    <w:rsid w:val="00443607"/>
    <w:rsid w:val="00443776"/>
    <w:rsid w:val="00443F7F"/>
    <w:rsid w:val="00444A42"/>
    <w:rsid w:val="004455D5"/>
    <w:rsid w:val="00445CEF"/>
    <w:rsid w:val="0044633E"/>
    <w:rsid w:val="00446AA8"/>
    <w:rsid w:val="00447514"/>
    <w:rsid w:val="00450A2B"/>
    <w:rsid w:val="00451BA5"/>
    <w:rsid w:val="00451E1B"/>
    <w:rsid w:val="004527D7"/>
    <w:rsid w:val="00453316"/>
    <w:rsid w:val="00453D39"/>
    <w:rsid w:val="00454AFA"/>
    <w:rsid w:val="00455690"/>
    <w:rsid w:val="00456E87"/>
    <w:rsid w:val="00456FCC"/>
    <w:rsid w:val="00461C3D"/>
    <w:rsid w:val="00462681"/>
    <w:rsid w:val="00462B4A"/>
    <w:rsid w:val="00463B9B"/>
    <w:rsid w:val="00463C1C"/>
    <w:rsid w:val="00464C85"/>
    <w:rsid w:val="00464CB7"/>
    <w:rsid w:val="004659EF"/>
    <w:rsid w:val="00466283"/>
    <w:rsid w:val="00467783"/>
    <w:rsid w:val="00467ACF"/>
    <w:rsid w:val="00470892"/>
    <w:rsid w:val="004715AA"/>
    <w:rsid w:val="004721BF"/>
    <w:rsid w:val="004728F6"/>
    <w:rsid w:val="0047444A"/>
    <w:rsid w:val="00474B8E"/>
    <w:rsid w:val="00475F9F"/>
    <w:rsid w:val="00484750"/>
    <w:rsid w:val="00487510"/>
    <w:rsid w:val="00493737"/>
    <w:rsid w:val="00495688"/>
    <w:rsid w:val="00496924"/>
    <w:rsid w:val="004969A8"/>
    <w:rsid w:val="00497639"/>
    <w:rsid w:val="00497C8F"/>
    <w:rsid w:val="004A0845"/>
    <w:rsid w:val="004A4BFF"/>
    <w:rsid w:val="004A58E5"/>
    <w:rsid w:val="004A6EF3"/>
    <w:rsid w:val="004A763F"/>
    <w:rsid w:val="004B06F5"/>
    <w:rsid w:val="004B0D6D"/>
    <w:rsid w:val="004B1C09"/>
    <w:rsid w:val="004B20FD"/>
    <w:rsid w:val="004B21A5"/>
    <w:rsid w:val="004B253B"/>
    <w:rsid w:val="004B545A"/>
    <w:rsid w:val="004B5B35"/>
    <w:rsid w:val="004B6B5E"/>
    <w:rsid w:val="004C0A37"/>
    <w:rsid w:val="004C0E6B"/>
    <w:rsid w:val="004C103A"/>
    <w:rsid w:val="004C3259"/>
    <w:rsid w:val="004C33A5"/>
    <w:rsid w:val="004C3A3A"/>
    <w:rsid w:val="004C3BBC"/>
    <w:rsid w:val="004C3EBB"/>
    <w:rsid w:val="004C457C"/>
    <w:rsid w:val="004C5D6B"/>
    <w:rsid w:val="004C5DB7"/>
    <w:rsid w:val="004C6E27"/>
    <w:rsid w:val="004C7740"/>
    <w:rsid w:val="004C7D9F"/>
    <w:rsid w:val="004D2001"/>
    <w:rsid w:val="004D2204"/>
    <w:rsid w:val="004D2228"/>
    <w:rsid w:val="004D33E5"/>
    <w:rsid w:val="004D3B76"/>
    <w:rsid w:val="004D3ED0"/>
    <w:rsid w:val="004D6AEA"/>
    <w:rsid w:val="004D6B59"/>
    <w:rsid w:val="004D79FE"/>
    <w:rsid w:val="004E0437"/>
    <w:rsid w:val="004E11B2"/>
    <w:rsid w:val="004E3013"/>
    <w:rsid w:val="004E418C"/>
    <w:rsid w:val="004E43FB"/>
    <w:rsid w:val="004E4497"/>
    <w:rsid w:val="004E5A42"/>
    <w:rsid w:val="004E6370"/>
    <w:rsid w:val="004E7522"/>
    <w:rsid w:val="004E7ECB"/>
    <w:rsid w:val="004F0AA2"/>
    <w:rsid w:val="004F0B64"/>
    <w:rsid w:val="004F1FBA"/>
    <w:rsid w:val="004F23B7"/>
    <w:rsid w:val="00503B71"/>
    <w:rsid w:val="00504B69"/>
    <w:rsid w:val="005053FA"/>
    <w:rsid w:val="0050609E"/>
    <w:rsid w:val="00506FE6"/>
    <w:rsid w:val="00511578"/>
    <w:rsid w:val="00511B32"/>
    <w:rsid w:val="0051229A"/>
    <w:rsid w:val="00512B7D"/>
    <w:rsid w:val="00513E79"/>
    <w:rsid w:val="00516CAE"/>
    <w:rsid w:val="005225F3"/>
    <w:rsid w:val="00523C4F"/>
    <w:rsid w:val="00524E31"/>
    <w:rsid w:val="00525A22"/>
    <w:rsid w:val="00525CEE"/>
    <w:rsid w:val="0052663F"/>
    <w:rsid w:val="00527B77"/>
    <w:rsid w:val="00527D89"/>
    <w:rsid w:val="00530CE0"/>
    <w:rsid w:val="005310C3"/>
    <w:rsid w:val="00531C02"/>
    <w:rsid w:val="0053299B"/>
    <w:rsid w:val="00532C45"/>
    <w:rsid w:val="005352D5"/>
    <w:rsid w:val="00535FFB"/>
    <w:rsid w:val="00536436"/>
    <w:rsid w:val="00541832"/>
    <w:rsid w:val="0054283D"/>
    <w:rsid w:val="00542A04"/>
    <w:rsid w:val="00542C38"/>
    <w:rsid w:val="00543AF6"/>
    <w:rsid w:val="005446CE"/>
    <w:rsid w:val="00551221"/>
    <w:rsid w:val="0055296D"/>
    <w:rsid w:val="00555260"/>
    <w:rsid w:val="00557ABF"/>
    <w:rsid w:val="00560935"/>
    <w:rsid w:val="005614A8"/>
    <w:rsid w:val="00561BA7"/>
    <w:rsid w:val="00561FFC"/>
    <w:rsid w:val="005624A4"/>
    <w:rsid w:val="0056532F"/>
    <w:rsid w:val="00565D36"/>
    <w:rsid w:val="00566844"/>
    <w:rsid w:val="00566E21"/>
    <w:rsid w:val="00567AE1"/>
    <w:rsid w:val="00570282"/>
    <w:rsid w:val="00570758"/>
    <w:rsid w:val="00570893"/>
    <w:rsid w:val="0057093B"/>
    <w:rsid w:val="0057181D"/>
    <w:rsid w:val="00572592"/>
    <w:rsid w:val="005726A2"/>
    <w:rsid w:val="00572CD6"/>
    <w:rsid w:val="00574184"/>
    <w:rsid w:val="00574FAC"/>
    <w:rsid w:val="00576D82"/>
    <w:rsid w:val="0057796C"/>
    <w:rsid w:val="005800E8"/>
    <w:rsid w:val="00580776"/>
    <w:rsid w:val="00581511"/>
    <w:rsid w:val="0058264C"/>
    <w:rsid w:val="00583136"/>
    <w:rsid w:val="00584D76"/>
    <w:rsid w:val="00585474"/>
    <w:rsid w:val="005857B1"/>
    <w:rsid w:val="005862F0"/>
    <w:rsid w:val="00587C68"/>
    <w:rsid w:val="0059043D"/>
    <w:rsid w:val="005928CB"/>
    <w:rsid w:val="00593E6F"/>
    <w:rsid w:val="00594611"/>
    <w:rsid w:val="00595268"/>
    <w:rsid w:val="00595BC7"/>
    <w:rsid w:val="00597C7B"/>
    <w:rsid w:val="005A00B0"/>
    <w:rsid w:val="005A1885"/>
    <w:rsid w:val="005A29E3"/>
    <w:rsid w:val="005A3D07"/>
    <w:rsid w:val="005A4439"/>
    <w:rsid w:val="005A4798"/>
    <w:rsid w:val="005A5C3A"/>
    <w:rsid w:val="005A6145"/>
    <w:rsid w:val="005A704B"/>
    <w:rsid w:val="005B00EA"/>
    <w:rsid w:val="005B0B11"/>
    <w:rsid w:val="005B0D28"/>
    <w:rsid w:val="005B1506"/>
    <w:rsid w:val="005B174C"/>
    <w:rsid w:val="005B2439"/>
    <w:rsid w:val="005B29DA"/>
    <w:rsid w:val="005B31B4"/>
    <w:rsid w:val="005B3776"/>
    <w:rsid w:val="005B3B73"/>
    <w:rsid w:val="005B3FA7"/>
    <w:rsid w:val="005B41CA"/>
    <w:rsid w:val="005B4D7B"/>
    <w:rsid w:val="005B5AEE"/>
    <w:rsid w:val="005B6F32"/>
    <w:rsid w:val="005B704B"/>
    <w:rsid w:val="005B7309"/>
    <w:rsid w:val="005C242A"/>
    <w:rsid w:val="005C3714"/>
    <w:rsid w:val="005C4B5D"/>
    <w:rsid w:val="005C509F"/>
    <w:rsid w:val="005C7E06"/>
    <w:rsid w:val="005D29D8"/>
    <w:rsid w:val="005D3ACA"/>
    <w:rsid w:val="005D3B69"/>
    <w:rsid w:val="005D41E0"/>
    <w:rsid w:val="005D44DB"/>
    <w:rsid w:val="005D4688"/>
    <w:rsid w:val="005D6067"/>
    <w:rsid w:val="005D621C"/>
    <w:rsid w:val="005D72E3"/>
    <w:rsid w:val="005D7C8D"/>
    <w:rsid w:val="005E39AE"/>
    <w:rsid w:val="005E640E"/>
    <w:rsid w:val="005E6CDB"/>
    <w:rsid w:val="005F09FF"/>
    <w:rsid w:val="005F0FA6"/>
    <w:rsid w:val="005F1AE4"/>
    <w:rsid w:val="005F2C11"/>
    <w:rsid w:val="005F33E7"/>
    <w:rsid w:val="005F7B88"/>
    <w:rsid w:val="00601034"/>
    <w:rsid w:val="006058C7"/>
    <w:rsid w:val="006071F1"/>
    <w:rsid w:val="00610158"/>
    <w:rsid w:val="00610807"/>
    <w:rsid w:val="0061082F"/>
    <w:rsid w:val="00611AE6"/>
    <w:rsid w:val="00611E6D"/>
    <w:rsid w:val="006133A0"/>
    <w:rsid w:val="00614131"/>
    <w:rsid w:val="006141A9"/>
    <w:rsid w:val="00615545"/>
    <w:rsid w:val="00615877"/>
    <w:rsid w:val="00616907"/>
    <w:rsid w:val="00616EF3"/>
    <w:rsid w:val="006206E4"/>
    <w:rsid w:val="006212AB"/>
    <w:rsid w:val="00621485"/>
    <w:rsid w:val="0062320C"/>
    <w:rsid w:val="00623594"/>
    <w:rsid w:val="0062527B"/>
    <w:rsid w:val="00630DF6"/>
    <w:rsid w:val="006315E7"/>
    <w:rsid w:val="0063166B"/>
    <w:rsid w:val="006318F6"/>
    <w:rsid w:val="00632731"/>
    <w:rsid w:val="006327C3"/>
    <w:rsid w:val="006329A5"/>
    <w:rsid w:val="006333A6"/>
    <w:rsid w:val="00634E84"/>
    <w:rsid w:val="00635331"/>
    <w:rsid w:val="00635833"/>
    <w:rsid w:val="00635B31"/>
    <w:rsid w:val="00636AB4"/>
    <w:rsid w:val="00637725"/>
    <w:rsid w:val="00637F5B"/>
    <w:rsid w:val="006409D4"/>
    <w:rsid w:val="00641F5C"/>
    <w:rsid w:val="006420E4"/>
    <w:rsid w:val="0064359E"/>
    <w:rsid w:val="006437FF"/>
    <w:rsid w:val="00643B0E"/>
    <w:rsid w:val="0064408E"/>
    <w:rsid w:val="00645264"/>
    <w:rsid w:val="006455EC"/>
    <w:rsid w:val="0064670A"/>
    <w:rsid w:val="00647D07"/>
    <w:rsid w:val="0065047E"/>
    <w:rsid w:val="00650604"/>
    <w:rsid w:val="00650D27"/>
    <w:rsid w:val="00652471"/>
    <w:rsid w:val="00652A9F"/>
    <w:rsid w:val="00653A57"/>
    <w:rsid w:val="0065465B"/>
    <w:rsid w:val="006546D1"/>
    <w:rsid w:val="006554B9"/>
    <w:rsid w:val="0065600C"/>
    <w:rsid w:val="0065630E"/>
    <w:rsid w:val="00661B8E"/>
    <w:rsid w:val="006620E4"/>
    <w:rsid w:val="00662A8D"/>
    <w:rsid w:val="00662C9A"/>
    <w:rsid w:val="006651DE"/>
    <w:rsid w:val="006668ED"/>
    <w:rsid w:val="00666D2D"/>
    <w:rsid w:val="00671121"/>
    <w:rsid w:val="006717A8"/>
    <w:rsid w:val="0067251C"/>
    <w:rsid w:val="00672B92"/>
    <w:rsid w:val="00675456"/>
    <w:rsid w:val="00675B8E"/>
    <w:rsid w:val="0067655A"/>
    <w:rsid w:val="00676E44"/>
    <w:rsid w:val="006773AD"/>
    <w:rsid w:val="006777A2"/>
    <w:rsid w:val="00677AB1"/>
    <w:rsid w:val="00681629"/>
    <w:rsid w:val="00681A36"/>
    <w:rsid w:val="006840E6"/>
    <w:rsid w:val="006854A7"/>
    <w:rsid w:val="00686923"/>
    <w:rsid w:val="00686E98"/>
    <w:rsid w:val="0069187A"/>
    <w:rsid w:val="0069424E"/>
    <w:rsid w:val="0069428F"/>
    <w:rsid w:val="00694806"/>
    <w:rsid w:val="0069519D"/>
    <w:rsid w:val="00697F20"/>
    <w:rsid w:val="006A0292"/>
    <w:rsid w:val="006A0322"/>
    <w:rsid w:val="006A05E7"/>
    <w:rsid w:val="006A25DF"/>
    <w:rsid w:val="006A2DB8"/>
    <w:rsid w:val="006A3D9A"/>
    <w:rsid w:val="006A58BD"/>
    <w:rsid w:val="006A7C03"/>
    <w:rsid w:val="006A7F23"/>
    <w:rsid w:val="006B062D"/>
    <w:rsid w:val="006B0722"/>
    <w:rsid w:val="006B0FB0"/>
    <w:rsid w:val="006B184F"/>
    <w:rsid w:val="006B19B0"/>
    <w:rsid w:val="006B45FE"/>
    <w:rsid w:val="006B4B54"/>
    <w:rsid w:val="006B6045"/>
    <w:rsid w:val="006B74FC"/>
    <w:rsid w:val="006B76B6"/>
    <w:rsid w:val="006B7988"/>
    <w:rsid w:val="006B7FE4"/>
    <w:rsid w:val="006C05F7"/>
    <w:rsid w:val="006C15B1"/>
    <w:rsid w:val="006C19FE"/>
    <w:rsid w:val="006C1AF6"/>
    <w:rsid w:val="006C50A3"/>
    <w:rsid w:val="006C6D34"/>
    <w:rsid w:val="006C6DE6"/>
    <w:rsid w:val="006D0084"/>
    <w:rsid w:val="006D09A3"/>
    <w:rsid w:val="006D174A"/>
    <w:rsid w:val="006D1A26"/>
    <w:rsid w:val="006D2413"/>
    <w:rsid w:val="006D3B1F"/>
    <w:rsid w:val="006D3E49"/>
    <w:rsid w:val="006D3E9A"/>
    <w:rsid w:val="006D44D0"/>
    <w:rsid w:val="006D4943"/>
    <w:rsid w:val="006D53C7"/>
    <w:rsid w:val="006D5956"/>
    <w:rsid w:val="006D5B53"/>
    <w:rsid w:val="006D616C"/>
    <w:rsid w:val="006D64C4"/>
    <w:rsid w:val="006D7A1A"/>
    <w:rsid w:val="006D7AAE"/>
    <w:rsid w:val="006D7E17"/>
    <w:rsid w:val="006E0895"/>
    <w:rsid w:val="006E20A0"/>
    <w:rsid w:val="006E33F4"/>
    <w:rsid w:val="006E4498"/>
    <w:rsid w:val="006E6AB8"/>
    <w:rsid w:val="006E6FB8"/>
    <w:rsid w:val="006E7D3E"/>
    <w:rsid w:val="006F0162"/>
    <w:rsid w:val="006F04FF"/>
    <w:rsid w:val="006F070B"/>
    <w:rsid w:val="006F090B"/>
    <w:rsid w:val="006F401F"/>
    <w:rsid w:val="006F4422"/>
    <w:rsid w:val="006F46DF"/>
    <w:rsid w:val="006F5825"/>
    <w:rsid w:val="006F7191"/>
    <w:rsid w:val="006F7C9D"/>
    <w:rsid w:val="00701E7D"/>
    <w:rsid w:val="00702201"/>
    <w:rsid w:val="00703301"/>
    <w:rsid w:val="0070348D"/>
    <w:rsid w:val="0070503C"/>
    <w:rsid w:val="007057A9"/>
    <w:rsid w:val="007067DB"/>
    <w:rsid w:val="007072CB"/>
    <w:rsid w:val="00710249"/>
    <w:rsid w:val="00710357"/>
    <w:rsid w:val="00713131"/>
    <w:rsid w:val="00713F72"/>
    <w:rsid w:val="00714ACC"/>
    <w:rsid w:val="00714D13"/>
    <w:rsid w:val="00715296"/>
    <w:rsid w:val="007157B8"/>
    <w:rsid w:val="0071606E"/>
    <w:rsid w:val="00716FDA"/>
    <w:rsid w:val="00722D72"/>
    <w:rsid w:val="0072372B"/>
    <w:rsid w:val="00723F8A"/>
    <w:rsid w:val="00726A7A"/>
    <w:rsid w:val="007277FB"/>
    <w:rsid w:val="007278E4"/>
    <w:rsid w:val="0073466F"/>
    <w:rsid w:val="00735133"/>
    <w:rsid w:val="007369C3"/>
    <w:rsid w:val="00736E17"/>
    <w:rsid w:val="007400B6"/>
    <w:rsid w:val="00740840"/>
    <w:rsid w:val="00741669"/>
    <w:rsid w:val="007422E0"/>
    <w:rsid w:val="007424B0"/>
    <w:rsid w:val="00742C46"/>
    <w:rsid w:val="007435F4"/>
    <w:rsid w:val="00746AD3"/>
    <w:rsid w:val="00750A71"/>
    <w:rsid w:val="00750B1A"/>
    <w:rsid w:val="00752519"/>
    <w:rsid w:val="007532C6"/>
    <w:rsid w:val="00753F91"/>
    <w:rsid w:val="007556E6"/>
    <w:rsid w:val="007568D4"/>
    <w:rsid w:val="00756A1C"/>
    <w:rsid w:val="007570DC"/>
    <w:rsid w:val="00757D86"/>
    <w:rsid w:val="00760B0B"/>
    <w:rsid w:val="0076112C"/>
    <w:rsid w:val="00761266"/>
    <w:rsid w:val="00762B04"/>
    <w:rsid w:val="00762F44"/>
    <w:rsid w:val="00764623"/>
    <w:rsid w:val="00764F04"/>
    <w:rsid w:val="007651AA"/>
    <w:rsid w:val="007651C6"/>
    <w:rsid w:val="007661BC"/>
    <w:rsid w:val="007664AE"/>
    <w:rsid w:val="00766A64"/>
    <w:rsid w:val="00766B2B"/>
    <w:rsid w:val="007672BA"/>
    <w:rsid w:val="007679EA"/>
    <w:rsid w:val="00767F99"/>
    <w:rsid w:val="007706A1"/>
    <w:rsid w:val="00770B40"/>
    <w:rsid w:val="00771365"/>
    <w:rsid w:val="007713C1"/>
    <w:rsid w:val="0077173C"/>
    <w:rsid w:val="007718CE"/>
    <w:rsid w:val="007720A6"/>
    <w:rsid w:val="00780136"/>
    <w:rsid w:val="0078072A"/>
    <w:rsid w:val="0078238C"/>
    <w:rsid w:val="00783110"/>
    <w:rsid w:val="00784529"/>
    <w:rsid w:val="00785483"/>
    <w:rsid w:val="007862F4"/>
    <w:rsid w:val="00786772"/>
    <w:rsid w:val="00786898"/>
    <w:rsid w:val="00786BEA"/>
    <w:rsid w:val="00787919"/>
    <w:rsid w:val="00787A7B"/>
    <w:rsid w:val="00793000"/>
    <w:rsid w:val="007943E2"/>
    <w:rsid w:val="00794B5F"/>
    <w:rsid w:val="007967F6"/>
    <w:rsid w:val="00797688"/>
    <w:rsid w:val="00797746"/>
    <w:rsid w:val="00797C77"/>
    <w:rsid w:val="007A0720"/>
    <w:rsid w:val="007A0799"/>
    <w:rsid w:val="007A2ECD"/>
    <w:rsid w:val="007A2EFB"/>
    <w:rsid w:val="007A31E3"/>
    <w:rsid w:val="007A3864"/>
    <w:rsid w:val="007A3BE8"/>
    <w:rsid w:val="007A418B"/>
    <w:rsid w:val="007A440D"/>
    <w:rsid w:val="007A52E8"/>
    <w:rsid w:val="007A59E3"/>
    <w:rsid w:val="007A5B9B"/>
    <w:rsid w:val="007A6131"/>
    <w:rsid w:val="007A6D0E"/>
    <w:rsid w:val="007A7362"/>
    <w:rsid w:val="007B01DA"/>
    <w:rsid w:val="007B0709"/>
    <w:rsid w:val="007B0ED5"/>
    <w:rsid w:val="007B2504"/>
    <w:rsid w:val="007B37C1"/>
    <w:rsid w:val="007B7022"/>
    <w:rsid w:val="007B71A0"/>
    <w:rsid w:val="007C02B6"/>
    <w:rsid w:val="007C0A16"/>
    <w:rsid w:val="007C1891"/>
    <w:rsid w:val="007C1F0F"/>
    <w:rsid w:val="007C205E"/>
    <w:rsid w:val="007C26D2"/>
    <w:rsid w:val="007C2DB2"/>
    <w:rsid w:val="007C32F6"/>
    <w:rsid w:val="007C3679"/>
    <w:rsid w:val="007C419F"/>
    <w:rsid w:val="007C444B"/>
    <w:rsid w:val="007C4703"/>
    <w:rsid w:val="007C4D99"/>
    <w:rsid w:val="007C525C"/>
    <w:rsid w:val="007D0880"/>
    <w:rsid w:val="007D15AC"/>
    <w:rsid w:val="007D2BD3"/>
    <w:rsid w:val="007D31E5"/>
    <w:rsid w:val="007D3237"/>
    <w:rsid w:val="007D3F46"/>
    <w:rsid w:val="007D5505"/>
    <w:rsid w:val="007D736C"/>
    <w:rsid w:val="007E0C06"/>
    <w:rsid w:val="007E1F31"/>
    <w:rsid w:val="007E47C1"/>
    <w:rsid w:val="007E5DC7"/>
    <w:rsid w:val="007E6D06"/>
    <w:rsid w:val="007E74AF"/>
    <w:rsid w:val="007E75A1"/>
    <w:rsid w:val="007E75B7"/>
    <w:rsid w:val="007E7F48"/>
    <w:rsid w:val="007F02AD"/>
    <w:rsid w:val="007F0805"/>
    <w:rsid w:val="007F1F57"/>
    <w:rsid w:val="007F4193"/>
    <w:rsid w:val="007F4984"/>
    <w:rsid w:val="007F5391"/>
    <w:rsid w:val="007F5DAC"/>
    <w:rsid w:val="007F5DBD"/>
    <w:rsid w:val="007F634C"/>
    <w:rsid w:val="007F710B"/>
    <w:rsid w:val="00801B9A"/>
    <w:rsid w:val="00802A25"/>
    <w:rsid w:val="00803231"/>
    <w:rsid w:val="008037BB"/>
    <w:rsid w:val="00803EB4"/>
    <w:rsid w:val="00804921"/>
    <w:rsid w:val="00805B27"/>
    <w:rsid w:val="0080608E"/>
    <w:rsid w:val="008069A6"/>
    <w:rsid w:val="00806BF5"/>
    <w:rsid w:val="008070CD"/>
    <w:rsid w:val="00807FAD"/>
    <w:rsid w:val="0081007E"/>
    <w:rsid w:val="008102F2"/>
    <w:rsid w:val="00810465"/>
    <w:rsid w:val="008147A2"/>
    <w:rsid w:val="00814EAC"/>
    <w:rsid w:val="0081548B"/>
    <w:rsid w:val="00815963"/>
    <w:rsid w:val="00816894"/>
    <w:rsid w:val="00820990"/>
    <w:rsid w:val="00821B06"/>
    <w:rsid w:val="00821FB9"/>
    <w:rsid w:val="00822571"/>
    <w:rsid w:val="00824C2B"/>
    <w:rsid w:val="00825A0C"/>
    <w:rsid w:val="00827510"/>
    <w:rsid w:val="008300AE"/>
    <w:rsid w:val="00830E7F"/>
    <w:rsid w:val="00831324"/>
    <w:rsid w:val="00832B19"/>
    <w:rsid w:val="00832B41"/>
    <w:rsid w:val="008332F5"/>
    <w:rsid w:val="008345B9"/>
    <w:rsid w:val="00835891"/>
    <w:rsid w:val="0083630F"/>
    <w:rsid w:val="0083639A"/>
    <w:rsid w:val="00836CD3"/>
    <w:rsid w:val="00836DF2"/>
    <w:rsid w:val="008378DE"/>
    <w:rsid w:val="008405D3"/>
    <w:rsid w:val="00845656"/>
    <w:rsid w:val="00846559"/>
    <w:rsid w:val="00846C52"/>
    <w:rsid w:val="00852135"/>
    <w:rsid w:val="00852496"/>
    <w:rsid w:val="00853096"/>
    <w:rsid w:val="0085396E"/>
    <w:rsid w:val="0085404A"/>
    <w:rsid w:val="0085416D"/>
    <w:rsid w:val="008541E8"/>
    <w:rsid w:val="008552BC"/>
    <w:rsid w:val="008553E4"/>
    <w:rsid w:val="00857485"/>
    <w:rsid w:val="00860384"/>
    <w:rsid w:val="008605FE"/>
    <w:rsid w:val="008626B7"/>
    <w:rsid w:val="008715AA"/>
    <w:rsid w:val="0087183F"/>
    <w:rsid w:val="00871FBB"/>
    <w:rsid w:val="008724D4"/>
    <w:rsid w:val="00873634"/>
    <w:rsid w:val="00873F3E"/>
    <w:rsid w:val="0087554E"/>
    <w:rsid w:val="00875D09"/>
    <w:rsid w:val="008775A2"/>
    <w:rsid w:val="0088005A"/>
    <w:rsid w:val="008821E8"/>
    <w:rsid w:val="00882B18"/>
    <w:rsid w:val="00883825"/>
    <w:rsid w:val="00883A6D"/>
    <w:rsid w:val="0088472B"/>
    <w:rsid w:val="0088474D"/>
    <w:rsid w:val="008861C2"/>
    <w:rsid w:val="00886A12"/>
    <w:rsid w:val="00886C45"/>
    <w:rsid w:val="00886D98"/>
    <w:rsid w:val="00886EEB"/>
    <w:rsid w:val="00886FEF"/>
    <w:rsid w:val="0088743D"/>
    <w:rsid w:val="00887E64"/>
    <w:rsid w:val="008916EB"/>
    <w:rsid w:val="00891AA9"/>
    <w:rsid w:val="00892241"/>
    <w:rsid w:val="00893069"/>
    <w:rsid w:val="0089382C"/>
    <w:rsid w:val="00893BD7"/>
    <w:rsid w:val="00894525"/>
    <w:rsid w:val="0089466E"/>
    <w:rsid w:val="008946DE"/>
    <w:rsid w:val="0089690E"/>
    <w:rsid w:val="00896E27"/>
    <w:rsid w:val="00897C30"/>
    <w:rsid w:val="008A057C"/>
    <w:rsid w:val="008A0965"/>
    <w:rsid w:val="008A0C1E"/>
    <w:rsid w:val="008A0E1A"/>
    <w:rsid w:val="008A1EB7"/>
    <w:rsid w:val="008A201B"/>
    <w:rsid w:val="008A2A1F"/>
    <w:rsid w:val="008A637E"/>
    <w:rsid w:val="008A6A1C"/>
    <w:rsid w:val="008A6DDA"/>
    <w:rsid w:val="008A729E"/>
    <w:rsid w:val="008B030A"/>
    <w:rsid w:val="008B030C"/>
    <w:rsid w:val="008B15C0"/>
    <w:rsid w:val="008B1768"/>
    <w:rsid w:val="008B1F3C"/>
    <w:rsid w:val="008B38D8"/>
    <w:rsid w:val="008B518D"/>
    <w:rsid w:val="008B6EF7"/>
    <w:rsid w:val="008B7F82"/>
    <w:rsid w:val="008C07B6"/>
    <w:rsid w:val="008C14CF"/>
    <w:rsid w:val="008C1AF2"/>
    <w:rsid w:val="008C1F6F"/>
    <w:rsid w:val="008C3A8E"/>
    <w:rsid w:val="008C4708"/>
    <w:rsid w:val="008C56DB"/>
    <w:rsid w:val="008C5B0E"/>
    <w:rsid w:val="008C5CAD"/>
    <w:rsid w:val="008C5D69"/>
    <w:rsid w:val="008C7D7D"/>
    <w:rsid w:val="008D012D"/>
    <w:rsid w:val="008D0B82"/>
    <w:rsid w:val="008D11C1"/>
    <w:rsid w:val="008D2E7D"/>
    <w:rsid w:val="008D3EAA"/>
    <w:rsid w:val="008D413D"/>
    <w:rsid w:val="008D45C0"/>
    <w:rsid w:val="008D5432"/>
    <w:rsid w:val="008D599C"/>
    <w:rsid w:val="008D7905"/>
    <w:rsid w:val="008E05D7"/>
    <w:rsid w:val="008E0C5C"/>
    <w:rsid w:val="008E1F5A"/>
    <w:rsid w:val="008E37AB"/>
    <w:rsid w:val="008E4DF8"/>
    <w:rsid w:val="008E4E38"/>
    <w:rsid w:val="008E5C4E"/>
    <w:rsid w:val="008E74FB"/>
    <w:rsid w:val="008E7A6B"/>
    <w:rsid w:val="008F018D"/>
    <w:rsid w:val="008F02FA"/>
    <w:rsid w:val="008F1430"/>
    <w:rsid w:val="008F17D7"/>
    <w:rsid w:val="008F5ACE"/>
    <w:rsid w:val="008F5CA5"/>
    <w:rsid w:val="008F5E3B"/>
    <w:rsid w:val="008F7319"/>
    <w:rsid w:val="00901114"/>
    <w:rsid w:val="009016BC"/>
    <w:rsid w:val="00901F98"/>
    <w:rsid w:val="00903BF1"/>
    <w:rsid w:val="009052BF"/>
    <w:rsid w:val="009071CA"/>
    <w:rsid w:val="0090756F"/>
    <w:rsid w:val="009076CF"/>
    <w:rsid w:val="00907FE5"/>
    <w:rsid w:val="00910E3A"/>
    <w:rsid w:val="00911155"/>
    <w:rsid w:val="009120D6"/>
    <w:rsid w:val="00912B98"/>
    <w:rsid w:val="009133E9"/>
    <w:rsid w:val="00913C01"/>
    <w:rsid w:val="00915CBD"/>
    <w:rsid w:val="00916B5A"/>
    <w:rsid w:val="00916BC8"/>
    <w:rsid w:val="00916FA2"/>
    <w:rsid w:val="0091748E"/>
    <w:rsid w:val="009203C2"/>
    <w:rsid w:val="00920870"/>
    <w:rsid w:val="00920BA9"/>
    <w:rsid w:val="00921B8D"/>
    <w:rsid w:val="00922478"/>
    <w:rsid w:val="00922B9F"/>
    <w:rsid w:val="00922EE8"/>
    <w:rsid w:val="0092375C"/>
    <w:rsid w:val="00925914"/>
    <w:rsid w:val="00925B41"/>
    <w:rsid w:val="00926164"/>
    <w:rsid w:val="00930B23"/>
    <w:rsid w:val="00931F25"/>
    <w:rsid w:val="009320D8"/>
    <w:rsid w:val="00933777"/>
    <w:rsid w:val="00933AA7"/>
    <w:rsid w:val="00933DAA"/>
    <w:rsid w:val="00934856"/>
    <w:rsid w:val="00935628"/>
    <w:rsid w:val="00935E1E"/>
    <w:rsid w:val="00936859"/>
    <w:rsid w:val="0094022E"/>
    <w:rsid w:val="0094128E"/>
    <w:rsid w:val="009418DC"/>
    <w:rsid w:val="009425A9"/>
    <w:rsid w:val="00943B73"/>
    <w:rsid w:val="009444AD"/>
    <w:rsid w:val="00945453"/>
    <w:rsid w:val="00945629"/>
    <w:rsid w:val="00945DBC"/>
    <w:rsid w:val="009461B1"/>
    <w:rsid w:val="009505C6"/>
    <w:rsid w:val="00952B50"/>
    <w:rsid w:val="00953C5E"/>
    <w:rsid w:val="00955E40"/>
    <w:rsid w:val="00960404"/>
    <w:rsid w:val="00960873"/>
    <w:rsid w:val="009629F9"/>
    <w:rsid w:val="00964761"/>
    <w:rsid w:val="0096562D"/>
    <w:rsid w:val="009676EE"/>
    <w:rsid w:val="00971569"/>
    <w:rsid w:val="00971F6C"/>
    <w:rsid w:val="0097380A"/>
    <w:rsid w:val="009757A2"/>
    <w:rsid w:val="00975DDC"/>
    <w:rsid w:val="009803DD"/>
    <w:rsid w:val="009813A7"/>
    <w:rsid w:val="00982C42"/>
    <w:rsid w:val="00983774"/>
    <w:rsid w:val="00984E6B"/>
    <w:rsid w:val="00985D21"/>
    <w:rsid w:val="00992AB9"/>
    <w:rsid w:val="00994743"/>
    <w:rsid w:val="00994E27"/>
    <w:rsid w:val="00995CF6"/>
    <w:rsid w:val="00996003"/>
    <w:rsid w:val="00996AC4"/>
    <w:rsid w:val="009A144A"/>
    <w:rsid w:val="009A1A54"/>
    <w:rsid w:val="009A274C"/>
    <w:rsid w:val="009A3815"/>
    <w:rsid w:val="009A58DB"/>
    <w:rsid w:val="009A6E17"/>
    <w:rsid w:val="009A78FF"/>
    <w:rsid w:val="009B1A2D"/>
    <w:rsid w:val="009B2D85"/>
    <w:rsid w:val="009B347E"/>
    <w:rsid w:val="009B36C3"/>
    <w:rsid w:val="009B3ABC"/>
    <w:rsid w:val="009B4E4D"/>
    <w:rsid w:val="009B66FD"/>
    <w:rsid w:val="009B68F5"/>
    <w:rsid w:val="009B74E3"/>
    <w:rsid w:val="009C0B06"/>
    <w:rsid w:val="009C1A15"/>
    <w:rsid w:val="009C3BBF"/>
    <w:rsid w:val="009C42B5"/>
    <w:rsid w:val="009C4C6D"/>
    <w:rsid w:val="009C7176"/>
    <w:rsid w:val="009C72DE"/>
    <w:rsid w:val="009C7318"/>
    <w:rsid w:val="009C7DAC"/>
    <w:rsid w:val="009D00F9"/>
    <w:rsid w:val="009D0E29"/>
    <w:rsid w:val="009D16E3"/>
    <w:rsid w:val="009D1FDB"/>
    <w:rsid w:val="009D27E4"/>
    <w:rsid w:val="009D2FBF"/>
    <w:rsid w:val="009D32BC"/>
    <w:rsid w:val="009D402A"/>
    <w:rsid w:val="009D724C"/>
    <w:rsid w:val="009D7FE7"/>
    <w:rsid w:val="009E1091"/>
    <w:rsid w:val="009E3F2F"/>
    <w:rsid w:val="009E5B12"/>
    <w:rsid w:val="009E6B2F"/>
    <w:rsid w:val="009F0081"/>
    <w:rsid w:val="009F05DA"/>
    <w:rsid w:val="009F0FD4"/>
    <w:rsid w:val="009F1E96"/>
    <w:rsid w:val="009F2CB3"/>
    <w:rsid w:val="009F2D4C"/>
    <w:rsid w:val="009F326B"/>
    <w:rsid w:val="009F3422"/>
    <w:rsid w:val="009F3EB3"/>
    <w:rsid w:val="009F4CB9"/>
    <w:rsid w:val="009F5000"/>
    <w:rsid w:val="009F5B74"/>
    <w:rsid w:val="009F7D58"/>
    <w:rsid w:val="00A0351F"/>
    <w:rsid w:val="00A03710"/>
    <w:rsid w:val="00A038EE"/>
    <w:rsid w:val="00A04337"/>
    <w:rsid w:val="00A04BB4"/>
    <w:rsid w:val="00A0679D"/>
    <w:rsid w:val="00A069BB"/>
    <w:rsid w:val="00A070BE"/>
    <w:rsid w:val="00A073C8"/>
    <w:rsid w:val="00A073CE"/>
    <w:rsid w:val="00A07681"/>
    <w:rsid w:val="00A07BC8"/>
    <w:rsid w:val="00A10186"/>
    <w:rsid w:val="00A10B0D"/>
    <w:rsid w:val="00A113A8"/>
    <w:rsid w:val="00A11A19"/>
    <w:rsid w:val="00A11AC1"/>
    <w:rsid w:val="00A12169"/>
    <w:rsid w:val="00A129AF"/>
    <w:rsid w:val="00A13AAF"/>
    <w:rsid w:val="00A14B1A"/>
    <w:rsid w:val="00A15FEC"/>
    <w:rsid w:val="00A1601F"/>
    <w:rsid w:val="00A162A3"/>
    <w:rsid w:val="00A164C1"/>
    <w:rsid w:val="00A20128"/>
    <w:rsid w:val="00A2038A"/>
    <w:rsid w:val="00A2093C"/>
    <w:rsid w:val="00A21B89"/>
    <w:rsid w:val="00A21E0A"/>
    <w:rsid w:val="00A22226"/>
    <w:rsid w:val="00A22609"/>
    <w:rsid w:val="00A22E3E"/>
    <w:rsid w:val="00A22F75"/>
    <w:rsid w:val="00A23656"/>
    <w:rsid w:val="00A24389"/>
    <w:rsid w:val="00A251C2"/>
    <w:rsid w:val="00A26103"/>
    <w:rsid w:val="00A26183"/>
    <w:rsid w:val="00A26C7A"/>
    <w:rsid w:val="00A27FC5"/>
    <w:rsid w:val="00A301D2"/>
    <w:rsid w:val="00A3179E"/>
    <w:rsid w:val="00A32428"/>
    <w:rsid w:val="00A33B90"/>
    <w:rsid w:val="00A3644C"/>
    <w:rsid w:val="00A36B0A"/>
    <w:rsid w:val="00A36B63"/>
    <w:rsid w:val="00A37DFB"/>
    <w:rsid w:val="00A41E32"/>
    <w:rsid w:val="00A4216B"/>
    <w:rsid w:val="00A44A0C"/>
    <w:rsid w:val="00A469EE"/>
    <w:rsid w:val="00A471BB"/>
    <w:rsid w:val="00A50EB9"/>
    <w:rsid w:val="00A5162C"/>
    <w:rsid w:val="00A53659"/>
    <w:rsid w:val="00A53884"/>
    <w:rsid w:val="00A54818"/>
    <w:rsid w:val="00A54AB8"/>
    <w:rsid w:val="00A54B83"/>
    <w:rsid w:val="00A54E0A"/>
    <w:rsid w:val="00A55C1E"/>
    <w:rsid w:val="00A55FA1"/>
    <w:rsid w:val="00A60911"/>
    <w:rsid w:val="00A60BD2"/>
    <w:rsid w:val="00A6330D"/>
    <w:rsid w:val="00A634FD"/>
    <w:rsid w:val="00A640DE"/>
    <w:rsid w:val="00A65E90"/>
    <w:rsid w:val="00A660F1"/>
    <w:rsid w:val="00A675F7"/>
    <w:rsid w:val="00A67CCE"/>
    <w:rsid w:val="00A702D9"/>
    <w:rsid w:val="00A70FC4"/>
    <w:rsid w:val="00A710DD"/>
    <w:rsid w:val="00A73140"/>
    <w:rsid w:val="00A73609"/>
    <w:rsid w:val="00A74348"/>
    <w:rsid w:val="00A743F6"/>
    <w:rsid w:val="00A75191"/>
    <w:rsid w:val="00A75A73"/>
    <w:rsid w:val="00A77161"/>
    <w:rsid w:val="00A7723B"/>
    <w:rsid w:val="00A774EB"/>
    <w:rsid w:val="00A802E4"/>
    <w:rsid w:val="00A8035D"/>
    <w:rsid w:val="00A81A83"/>
    <w:rsid w:val="00A835F2"/>
    <w:rsid w:val="00A855D0"/>
    <w:rsid w:val="00A8610F"/>
    <w:rsid w:val="00A8622B"/>
    <w:rsid w:val="00A8649E"/>
    <w:rsid w:val="00A8656C"/>
    <w:rsid w:val="00A91A04"/>
    <w:rsid w:val="00A92938"/>
    <w:rsid w:val="00A92EA8"/>
    <w:rsid w:val="00AA090D"/>
    <w:rsid w:val="00AA1D2F"/>
    <w:rsid w:val="00AA3918"/>
    <w:rsid w:val="00AA417E"/>
    <w:rsid w:val="00AA44F0"/>
    <w:rsid w:val="00AA4589"/>
    <w:rsid w:val="00AA4963"/>
    <w:rsid w:val="00AA5FEA"/>
    <w:rsid w:val="00AA6168"/>
    <w:rsid w:val="00AA6503"/>
    <w:rsid w:val="00AB003F"/>
    <w:rsid w:val="00AB0294"/>
    <w:rsid w:val="00AB08C6"/>
    <w:rsid w:val="00AB0A88"/>
    <w:rsid w:val="00AB1C22"/>
    <w:rsid w:val="00AB23D3"/>
    <w:rsid w:val="00AB38E0"/>
    <w:rsid w:val="00AB421A"/>
    <w:rsid w:val="00AB46F1"/>
    <w:rsid w:val="00AB51E5"/>
    <w:rsid w:val="00AB5235"/>
    <w:rsid w:val="00AB55FF"/>
    <w:rsid w:val="00AB68F3"/>
    <w:rsid w:val="00AC2688"/>
    <w:rsid w:val="00AC45D8"/>
    <w:rsid w:val="00AC53E6"/>
    <w:rsid w:val="00AC5E49"/>
    <w:rsid w:val="00AC608A"/>
    <w:rsid w:val="00AC74CE"/>
    <w:rsid w:val="00AC7BBA"/>
    <w:rsid w:val="00AC7ED2"/>
    <w:rsid w:val="00AD1338"/>
    <w:rsid w:val="00AD178C"/>
    <w:rsid w:val="00AD3B00"/>
    <w:rsid w:val="00AD4C86"/>
    <w:rsid w:val="00AD5110"/>
    <w:rsid w:val="00AD5267"/>
    <w:rsid w:val="00AE152E"/>
    <w:rsid w:val="00AE1C54"/>
    <w:rsid w:val="00AE32E0"/>
    <w:rsid w:val="00AE40D8"/>
    <w:rsid w:val="00AE554C"/>
    <w:rsid w:val="00AE7723"/>
    <w:rsid w:val="00AF0650"/>
    <w:rsid w:val="00AF1517"/>
    <w:rsid w:val="00AF1EAB"/>
    <w:rsid w:val="00AF240C"/>
    <w:rsid w:val="00AF2CF2"/>
    <w:rsid w:val="00AF3F0E"/>
    <w:rsid w:val="00AF4437"/>
    <w:rsid w:val="00AF470D"/>
    <w:rsid w:val="00AF4A0E"/>
    <w:rsid w:val="00AF4CA6"/>
    <w:rsid w:val="00AF5C61"/>
    <w:rsid w:val="00AF5CC7"/>
    <w:rsid w:val="00AF62B4"/>
    <w:rsid w:val="00AF6405"/>
    <w:rsid w:val="00AF7B68"/>
    <w:rsid w:val="00B01D30"/>
    <w:rsid w:val="00B02035"/>
    <w:rsid w:val="00B0275F"/>
    <w:rsid w:val="00B03406"/>
    <w:rsid w:val="00B0536E"/>
    <w:rsid w:val="00B112A7"/>
    <w:rsid w:val="00B11511"/>
    <w:rsid w:val="00B117F5"/>
    <w:rsid w:val="00B12028"/>
    <w:rsid w:val="00B120E2"/>
    <w:rsid w:val="00B1228C"/>
    <w:rsid w:val="00B14904"/>
    <w:rsid w:val="00B14A60"/>
    <w:rsid w:val="00B14BFF"/>
    <w:rsid w:val="00B16888"/>
    <w:rsid w:val="00B174FC"/>
    <w:rsid w:val="00B208C1"/>
    <w:rsid w:val="00B20914"/>
    <w:rsid w:val="00B21C09"/>
    <w:rsid w:val="00B22AC3"/>
    <w:rsid w:val="00B238FF"/>
    <w:rsid w:val="00B23C65"/>
    <w:rsid w:val="00B24C31"/>
    <w:rsid w:val="00B262DA"/>
    <w:rsid w:val="00B2671D"/>
    <w:rsid w:val="00B27180"/>
    <w:rsid w:val="00B2729A"/>
    <w:rsid w:val="00B3192D"/>
    <w:rsid w:val="00B31B62"/>
    <w:rsid w:val="00B31F65"/>
    <w:rsid w:val="00B321D9"/>
    <w:rsid w:val="00B32714"/>
    <w:rsid w:val="00B32E0A"/>
    <w:rsid w:val="00B33636"/>
    <w:rsid w:val="00B34D33"/>
    <w:rsid w:val="00B35513"/>
    <w:rsid w:val="00B36419"/>
    <w:rsid w:val="00B37A09"/>
    <w:rsid w:val="00B401A7"/>
    <w:rsid w:val="00B405F8"/>
    <w:rsid w:val="00B4173F"/>
    <w:rsid w:val="00B42024"/>
    <w:rsid w:val="00B43324"/>
    <w:rsid w:val="00B45612"/>
    <w:rsid w:val="00B5102A"/>
    <w:rsid w:val="00B519E0"/>
    <w:rsid w:val="00B5313B"/>
    <w:rsid w:val="00B5443F"/>
    <w:rsid w:val="00B55DB1"/>
    <w:rsid w:val="00B562DE"/>
    <w:rsid w:val="00B61469"/>
    <w:rsid w:val="00B620E7"/>
    <w:rsid w:val="00B624D6"/>
    <w:rsid w:val="00B6260B"/>
    <w:rsid w:val="00B62701"/>
    <w:rsid w:val="00B62BE6"/>
    <w:rsid w:val="00B631E9"/>
    <w:rsid w:val="00B636E3"/>
    <w:rsid w:val="00B63893"/>
    <w:rsid w:val="00B64A38"/>
    <w:rsid w:val="00B64D2E"/>
    <w:rsid w:val="00B65B7E"/>
    <w:rsid w:val="00B65D81"/>
    <w:rsid w:val="00B667F0"/>
    <w:rsid w:val="00B66F13"/>
    <w:rsid w:val="00B67319"/>
    <w:rsid w:val="00B67D51"/>
    <w:rsid w:val="00B71773"/>
    <w:rsid w:val="00B71797"/>
    <w:rsid w:val="00B71A31"/>
    <w:rsid w:val="00B7240D"/>
    <w:rsid w:val="00B72559"/>
    <w:rsid w:val="00B726C2"/>
    <w:rsid w:val="00B7311E"/>
    <w:rsid w:val="00B7316C"/>
    <w:rsid w:val="00B7347E"/>
    <w:rsid w:val="00B768DA"/>
    <w:rsid w:val="00B77AF9"/>
    <w:rsid w:val="00B80FCA"/>
    <w:rsid w:val="00B810A0"/>
    <w:rsid w:val="00B816F0"/>
    <w:rsid w:val="00B81848"/>
    <w:rsid w:val="00B81FA8"/>
    <w:rsid w:val="00B82F18"/>
    <w:rsid w:val="00B83112"/>
    <w:rsid w:val="00B84B64"/>
    <w:rsid w:val="00B85DDC"/>
    <w:rsid w:val="00B87EC3"/>
    <w:rsid w:val="00B926D8"/>
    <w:rsid w:val="00B9418A"/>
    <w:rsid w:val="00B94892"/>
    <w:rsid w:val="00B9581C"/>
    <w:rsid w:val="00B95D05"/>
    <w:rsid w:val="00B974BF"/>
    <w:rsid w:val="00B97951"/>
    <w:rsid w:val="00BA0A9F"/>
    <w:rsid w:val="00BA0F55"/>
    <w:rsid w:val="00BA2E00"/>
    <w:rsid w:val="00BA3F85"/>
    <w:rsid w:val="00BA5705"/>
    <w:rsid w:val="00BA7009"/>
    <w:rsid w:val="00BB0BE3"/>
    <w:rsid w:val="00BB129E"/>
    <w:rsid w:val="00BB15BE"/>
    <w:rsid w:val="00BB1781"/>
    <w:rsid w:val="00BB1E73"/>
    <w:rsid w:val="00BB1F56"/>
    <w:rsid w:val="00BB234C"/>
    <w:rsid w:val="00BB23B3"/>
    <w:rsid w:val="00BB3FEF"/>
    <w:rsid w:val="00BB4090"/>
    <w:rsid w:val="00BB5669"/>
    <w:rsid w:val="00BB5A88"/>
    <w:rsid w:val="00BB617B"/>
    <w:rsid w:val="00BB6745"/>
    <w:rsid w:val="00BB6B82"/>
    <w:rsid w:val="00BB6CD6"/>
    <w:rsid w:val="00BB7D57"/>
    <w:rsid w:val="00BC2D4C"/>
    <w:rsid w:val="00BC319A"/>
    <w:rsid w:val="00BC3575"/>
    <w:rsid w:val="00BC4922"/>
    <w:rsid w:val="00BC4B41"/>
    <w:rsid w:val="00BC5595"/>
    <w:rsid w:val="00BC6393"/>
    <w:rsid w:val="00BC69AE"/>
    <w:rsid w:val="00BC766B"/>
    <w:rsid w:val="00BD0D14"/>
    <w:rsid w:val="00BD49D7"/>
    <w:rsid w:val="00BE1BEE"/>
    <w:rsid w:val="00BE2E9A"/>
    <w:rsid w:val="00BE3C2C"/>
    <w:rsid w:val="00BE3E67"/>
    <w:rsid w:val="00BE42E8"/>
    <w:rsid w:val="00BE51F3"/>
    <w:rsid w:val="00BE62AC"/>
    <w:rsid w:val="00BE63F6"/>
    <w:rsid w:val="00BE659F"/>
    <w:rsid w:val="00BE69F5"/>
    <w:rsid w:val="00BE6B89"/>
    <w:rsid w:val="00BE6FE3"/>
    <w:rsid w:val="00BF116A"/>
    <w:rsid w:val="00BF14B1"/>
    <w:rsid w:val="00BF2C64"/>
    <w:rsid w:val="00BF3F7C"/>
    <w:rsid w:val="00BF42AB"/>
    <w:rsid w:val="00BF4ED9"/>
    <w:rsid w:val="00BF50B1"/>
    <w:rsid w:val="00BF5B02"/>
    <w:rsid w:val="00BF71EB"/>
    <w:rsid w:val="00BF7486"/>
    <w:rsid w:val="00C01439"/>
    <w:rsid w:val="00C0192E"/>
    <w:rsid w:val="00C01B78"/>
    <w:rsid w:val="00C01D5D"/>
    <w:rsid w:val="00C02208"/>
    <w:rsid w:val="00C02912"/>
    <w:rsid w:val="00C02EC6"/>
    <w:rsid w:val="00C05492"/>
    <w:rsid w:val="00C06388"/>
    <w:rsid w:val="00C067AF"/>
    <w:rsid w:val="00C12D0A"/>
    <w:rsid w:val="00C13650"/>
    <w:rsid w:val="00C153E8"/>
    <w:rsid w:val="00C17396"/>
    <w:rsid w:val="00C17E5A"/>
    <w:rsid w:val="00C24B2E"/>
    <w:rsid w:val="00C25900"/>
    <w:rsid w:val="00C26E17"/>
    <w:rsid w:val="00C306F7"/>
    <w:rsid w:val="00C30712"/>
    <w:rsid w:val="00C32706"/>
    <w:rsid w:val="00C328EB"/>
    <w:rsid w:val="00C338A6"/>
    <w:rsid w:val="00C33EAD"/>
    <w:rsid w:val="00C3495E"/>
    <w:rsid w:val="00C34F18"/>
    <w:rsid w:val="00C3584C"/>
    <w:rsid w:val="00C35AD9"/>
    <w:rsid w:val="00C37794"/>
    <w:rsid w:val="00C37A2B"/>
    <w:rsid w:val="00C40C40"/>
    <w:rsid w:val="00C41316"/>
    <w:rsid w:val="00C417E3"/>
    <w:rsid w:val="00C42186"/>
    <w:rsid w:val="00C43362"/>
    <w:rsid w:val="00C436FE"/>
    <w:rsid w:val="00C43C68"/>
    <w:rsid w:val="00C44672"/>
    <w:rsid w:val="00C453DA"/>
    <w:rsid w:val="00C453E2"/>
    <w:rsid w:val="00C46940"/>
    <w:rsid w:val="00C46F75"/>
    <w:rsid w:val="00C471C5"/>
    <w:rsid w:val="00C47AE9"/>
    <w:rsid w:val="00C507D2"/>
    <w:rsid w:val="00C51466"/>
    <w:rsid w:val="00C515C9"/>
    <w:rsid w:val="00C51B04"/>
    <w:rsid w:val="00C532E2"/>
    <w:rsid w:val="00C5434D"/>
    <w:rsid w:val="00C563CA"/>
    <w:rsid w:val="00C57CC3"/>
    <w:rsid w:val="00C60465"/>
    <w:rsid w:val="00C6065B"/>
    <w:rsid w:val="00C60A5D"/>
    <w:rsid w:val="00C60D4A"/>
    <w:rsid w:val="00C60EF3"/>
    <w:rsid w:val="00C64263"/>
    <w:rsid w:val="00C6489D"/>
    <w:rsid w:val="00C64ECC"/>
    <w:rsid w:val="00C65059"/>
    <w:rsid w:val="00C670BE"/>
    <w:rsid w:val="00C71BCF"/>
    <w:rsid w:val="00C7270B"/>
    <w:rsid w:val="00C7319E"/>
    <w:rsid w:val="00C73460"/>
    <w:rsid w:val="00C73E32"/>
    <w:rsid w:val="00C77469"/>
    <w:rsid w:val="00C77A9F"/>
    <w:rsid w:val="00C8067E"/>
    <w:rsid w:val="00C824D1"/>
    <w:rsid w:val="00C83120"/>
    <w:rsid w:val="00C83A3F"/>
    <w:rsid w:val="00C871C6"/>
    <w:rsid w:val="00C90D4D"/>
    <w:rsid w:val="00C90ECF"/>
    <w:rsid w:val="00C915A2"/>
    <w:rsid w:val="00C91FCF"/>
    <w:rsid w:val="00C927E7"/>
    <w:rsid w:val="00C93B0A"/>
    <w:rsid w:val="00C93E5F"/>
    <w:rsid w:val="00C94775"/>
    <w:rsid w:val="00C951A3"/>
    <w:rsid w:val="00C967DD"/>
    <w:rsid w:val="00C96F95"/>
    <w:rsid w:val="00CA01B2"/>
    <w:rsid w:val="00CA1058"/>
    <w:rsid w:val="00CA30F9"/>
    <w:rsid w:val="00CA3C07"/>
    <w:rsid w:val="00CA4560"/>
    <w:rsid w:val="00CA473F"/>
    <w:rsid w:val="00CA5E1C"/>
    <w:rsid w:val="00CA7555"/>
    <w:rsid w:val="00CB01E9"/>
    <w:rsid w:val="00CB08E2"/>
    <w:rsid w:val="00CB14EE"/>
    <w:rsid w:val="00CB1FED"/>
    <w:rsid w:val="00CB220C"/>
    <w:rsid w:val="00CB37B8"/>
    <w:rsid w:val="00CB4728"/>
    <w:rsid w:val="00CB5852"/>
    <w:rsid w:val="00CB6263"/>
    <w:rsid w:val="00CB66DE"/>
    <w:rsid w:val="00CB6B1E"/>
    <w:rsid w:val="00CC0957"/>
    <w:rsid w:val="00CC0AE5"/>
    <w:rsid w:val="00CC0BBC"/>
    <w:rsid w:val="00CC192E"/>
    <w:rsid w:val="00CC239A"/>
    <w:rsid w:val="00CC2BE2"/>
    <w:rsid w:val="00CC2F84"/>
    <w:rsid w:val="00CC3131"/>
    <w:rsid w:val="00CC3680"/>
    <w:rsid w:val="00CC4ED3"/>
    <w:rsid w:val="00CC5D51"/>
    <w:rsid w:val="00CC7ABF"/>
    <w:rsid w:val="00CC7BD8"/>
    <w:rsid w:val="00CD028F"/>
    <w:rsid w:val="00CD0349"/>
    <w:rsid w:val="00CD07F9"/>
    <w:rsid w:val="00CD09CD"/>
    <w:rsid w:val="00CD1494"/>
    <w:rsid w:val="00CD3318"/>
    <w:rsid w:val="00CD534E"/>
    <w:rsid w:val="00CD6233"/>
    <w:rsid w:val="00CD6823"/>
    <w:rsid w:val="00CD7EB3"/>
    <w:rsid w:val="00CE09F7"/>
    <w:rsid w:val="00CE116B"/>
    <w:rsid w:val="00CE2C5B"/>
    <w:rsid w:val="00CE4D5A"/>
    <w:rsid w:val="00CE56B9"/>
    <w:rsid w:val="00CE5FAA"/>
    <w:rsid w:val="00CE6DFD"/>
    <w:rsid w:val="00CE752F"/>
    <w:rsid w:val="00CF0280"/>
    <w:rsid w:val="00CF06C5"/>
    <w:rsid w:val="00CF1022"/>
    <w:rsid w:val="00CF1666"/>
    <w:rsid w:val="00CF24E1"/>
    <w:rsid w:val="00CF28C3"/>
    <w:rsid w:val="00CF38BA"/>
    <w:rsid w:val="00CF56AF"/>
    <w:rsid w:val="00CF5748"/>
    <w:rsid w:val="00CF5897"/>
    <w:rsid w:val="00CF5901"/>
    <w:rsid w:val="00CF7025"/>
    <w:rsid w:val="00CF70D8"/>
    <w:rsid w:val="00D00D5F"/>
    <w:rsid w:val="00D00F5E"/>
    <w:rsid w:val="00D026DE"/>
    <w:rsid w:val="00D02B5E"/>
    <w:rsid w:val="00D035C4"/>
    <w:rsid w:val="00D04B03"/>
    <w:rsid w:val="00D04B7E"/>
    <w:rsid w:val="00D05BFE"/>
    <w:rsid w:val="00D05E85"/>
    <w:rsid w:val="00D06335"/>
    <w:rsid w:val="00D07EF1"/>
    <w:rsid w:val="00D10E22"/>
    <w:rsid w:val="00D12F75"/>
    <w:rsid w:val="00D1303C"/>
    <w:rsid w:val="00D137FE"/>
    <w:rsid w:val="00D13CC9"/>
    <w:rsid w:val="00D140B2"/>
    <w:rsid w:val="00D20747"/>
    <w:rsid w:val="00D2100D"/>
    <w:rsid w:val="00D21352"/>
    <w:rsid w:val="00D21CA3"/>
    <w:rsid w:val="00D23417"/>
    <w:rsid w:val="00D24CE2"/>
    <w:rsid w:val="00D24E27"/>
    <w:rsid w:val="00D25486"/>
    <w:rsid w:val="00D30AC1"/>
    <w:rsid w:val="00D315AB"/>
    <w:rsid w:val="00D31721"/>
    <w:rsid w:val="00D32A68"/>
    <w:rsid w:val="00D33AA9"/>
    <w:rsid w:val="00D36E90"/>
    <w:rsid w:val="00D40488"/>
    <w:rsid w:val="00D4144D"/>
    <w:rsid w:val="00D419AD"/>
    <w:rsid w:val="00D42534"/>
    <w:rsid w:val="00D44943"/>
    <w:rsid w:val="00D44BB9"/>
    <w:rsid w:val="00D45C34"/>
    <w:rsid w:val="00D46603"/>
    <w:rsid w:val="00D467D3"/>
    <w:rsid w:val="00D46FC9"/>
    <w:rsid w:val="00D543FA"/>
    <w:rsid w:val="00D55479"/>
    <w:rsid w:val="00D55EAB"/>
    <w:rsid w:val="00D5601D"/>
    <w:rsid w:val="00D57495"/>
    <w:rsid w:val="00D57E4F"/>
    <w:rsid w:val="00D605AC"/>
    <w:rsid w:val="00D61AB6"/>
    <w:rsid w:val="00D62223"/>
    <w:rsid w:val="00D629F8"/>
    <w:rsid w:val="00D646DA"/>
    <w:rsid w:val="00D64C6E"/>
    <w:rsid w:val="00D67E90"/>
    <w:rsid w:val="00D7208B"/>
    <w:rsid w:val="00D72EC6"/>
    <w:rsid w:val="00D73770"/>
    <w:rsid w:val="00D74545"/>
    <w:rsid w:val="00D7665C"/>
    <w:rsid w:val="00D77860"/>
    <w:rsid w:val="00D77B5F"/>
    <w:rsid w:val="00D77C81"/>
    <w:rsid w:val="00D80237"/>
    <w:rsid w:val="00D80675"/>
    <w:rsid w:val="00D809D9"/>
    <w:rsid w:val="00D80BFC"/>
    <w:rsid w:val="00D80C35"/>
    <w:rsid w:val="00D8185F"/>
    <w:rsid w:val="00D82228"/>
    <w:rsid w:val="00D827FC"/>
    <w:rsid w:val="00D839FC"/>
    <w:rsid w:val="00D86D52"/>
    <w:rsid w:val="00D9086D"/>
    <w:rsid w:val="00D90BB8"/>
    <w:rsid w:val="00D90EE1"/>
    <w:rsid w:val="00D91A0F"/>
    <w:rsid w:val="00D91F75"/>
    <w:rsid w:val="00D9235B"/>
    <w:rsid w:val="00D94FB0"/>
    <w:rsid w:val="00D95832"/>
    <w:rsid w:val="00D96F23"/>
    <w:rsid w:val="00D97527"/>
    <w:rsid w:val="00DA0DE9"/>
    <w:rsid w:val="00DA0E1C"/>
    <w:rsid w:val="00DA10B7"/>
    <w:rsid w:val="00DA5949"/>
    <w:rsid w:val="00DA749A"/>
    <w:rsid w:val="00DA7545"/>
    <w:rsid w:val="00DB14EC"/>
    <w:rsid w:val="00DB1E79"/>
    <w:rsid w:val="00DB21E8"/>
    <w:rsid w:val="00DB4649"/>
    <w:rsid w:val="00DB577E"/>
    <w:rsid w:val="00DB5E33"/>
    <w:rsid w:val="00DC09D5"/>
    <w:rsid w:val="00DC09F7"/>
    <w:rsid w:val="00DC2346"/>
    <w:rsid w:val="00DC48B7"/>
    <w:rsid w:val="00DC4D0D"/>
    <w:rsid w:val="00DD0493"/>
    <w:rsid w:val="00DD1954"/>
    <w:rsid w:val="00DD2517"/>
    <w:rsid w:val="00DD2BA4"/>
    <w:rsid w:val="00DD3143"/>
    <w:rsid w:val="00DD3D3A"/>
    <w:rsid w:val="00DD3EA1"/>
    <w:rsid w:val="00DD4687"/>
    <w:rsid w:val="00DD566E"/>
    <w:rsid w:val="00DD709D"/>
    <w:rsid w:val="00DD7346"/>
    <w:rsid w:val="00DE091D"/>
    <w:rsid w:val="00DE434A"/>
    <w:rsid w:val="00DE56E9"/>
    <w:rsid w:val="00DE576E"/>
    <w:rsid w:val="00DE5844"/>
    <w:rsid w:val="00DE5B70"/>
    <w:rsid w:val="00DE672D"/>
    <w:rsid w:val="00DE6870"/>
    <w:rsid w:val="00DE6F92"/>
    <w:rsid w:val="00DE709B"/>
    <w:rsid w:val="00DF18D4"/>
    <w:rsid w:val="00DF398C"/>
    <w:rsid w:val="00DF496D"/>
    <w:rsid w:val="00DF5239"/>
    <w:rsid w:val="00DF7183"/>
    <w:rsid w:val="00DF7253"/>
    <w:rsid w:val="00DF75F9"/>
    <w:rsid w:val="00E022A9"/>
    <w:rsid w:val="00E02929"/>
    <w:rsid w:val="00E05816"/>
    <w:rsid w:val="00E05884"/>
    <w:rsid w:val="00E0672E"/>
    <w:rsid w:val="00E07936"/>
    <w:rsid w:val="00E100B5"/>
    <w:rsid w:val="00E105F0"/>
    <w:rsid w:val="00E11072"/>
    <w:rsid w:val="00E11C8D"/>
    <w:rsid w:val="00E12CBA"/>
    <w:rsid w:val="00E13E37"/>
    <w:rsid w:val="00E13EA4"/>
    <w:rsid w:val="00E1430B"/>
    <w:rsid w:val="00E14D2E"/>
    <w:rsid w:val="00E14E53"/>
    <w:rsid w:val="00E155D5"/>
    <w:rsid w:val="00E16802"/>
    <w:rsid w:val="00E1718D"/>
    <w:rsid w:val="00E177BB"/>
    <w:rsid w:val="00E17831"/>
    <w:rsid w:val="00E20C1A"/>
    <w:rsid w:val="00E214E1"/>
    <w:rsid w:val="00E27BC3"/>
    <w:rsid w:val="00E32718"/>
    <w:rsid w:val="00E3277F"/>
    <w:rsid w:val="00E32A3A"/>
    <w:rsid w:val="00E33002"/>
    <w:rsid w:val="00E34399"/>
    <w:rsid w:val="00E36704"/>
    <w:rsid w:val="00E373B3"/>
    <w:rsid w:val="00E378B5"/>
    <w:rsid w:val="00E379E0"/>
    <w:rsid w:val="00E37CB5"/>
    <w:rsid w:val="00E37CBF"/>
    <w:rsid w:val="00E41080"/>
    <w:rsid w:val="00E428FB"/>
    <w:rsid w:val="00E435B6"/>
    <w:rsid w:val="00E439C4"/>
    <w:rsid w:val="00E43EC3"/>
    <w:rsid w:val="00E445C4"/>
    <w:rsid w:val="00E45A22"/>
    <w:rsid w:val="00E46A12"/>
    <w:rsid w:val="00E46B53"/>
    <w:rsid w:val="00E46C34"/>
    <w:rsid w:val="00E5006D"/>
    <w:rsid w:val="00E50363"/>
    <w:rsid w:val="00E50454"/>
    <w:rsid w:val="00E50B69"/>
    <w:rsid w:val="00E5285C"/>
    <w:rsid w:val="00E529DF"/>
    <w:rsid w:val="00E52E5A"/>
    <w:rsid w:val="00E568E5"/>
    <w:rsid w:val="00E56CB8"/>
    <w:rsid w:val="00E623C3"/>
    <w:rsid w:val="00E638DE"/>
    <w:rsid w:val="00E64CCD"/>
    <w:rsid w:val="00E65BFD"/>
    <w:rsid w:val="00E704E1"/>
    <w:rsid w:val="00E70788"/>
    <w:rsid w:val="00E73ED3"/>
    <w:rsid w:val="00E74EED"/>
    <w:rsid w:val="00E75277"/>
    <w:rsid w:val="00E7530C"/>
    <w:rsid w:val="00E77867"/>
    <w:rsid w:val="00E77F73"/>
    <w:rsid w:val="00E8049B"/>
    <w:rsid w:val="00E805A4"/>
    <w:rsid w:val="00E80ABC"/>
    <w:rsid w:val="00E81F1E"/>
    <w:rsid w:val="00E820A3"/>
    <w:rsid w:val="00E829B9"/>
    <w:rsid w:val="00E83A6B"/>
    <w:rsid w:val="00E84536"/>
    <w:rsid w:val="00E84858"/>
    <w:rsid w:val="00E85A94"/>
    <w:rsid w:val="00E86A57"/>
    <w:rsid w:val="00E87866"/>
    <w:rsid w:val="00E9046C"/>
    <w:rsid w:val="00E91A81"/>
    <w:rsid w:val="00E922A4"/>
    <w:rsid w:val="00E93CC4"/>
    <w:rsid w:val="00E949C1"/>
    <w:rsid w:val="00E9524E"/>
    <w:rsid w:val="00E9656D"/>
    <w:rsid w:val="00E965EF"/>
    <w:rsid w:val="00EA00EA"/>
    <w:rsid w:val="00EA11C9"/>
    <w:rsid w:val="00EA1852"/>
    <w:rsid w:val="00EA1A14"/>
    <w:rsid w:val="00EA1CEC"/>
    <w:rsid w:val="00EA1E69"/>
    <w:rsid w:val="00EA1E75"/>
    <w:rsid w:val="00EA25EC"/>
    <w:rsid w:val="00EA2CBC"/>
    <w:rsid w:val="00EA309A"/>
    <w:rsid w:val="00EA32E9"/>
    <w:rsid w:val="00EA3827"/>
    <w:rsid w:val="00EA3F19"/>
    <w:rsid w:val="00EA40BD"/>
    <w:rsid w:val="00EA7326"/>
    <w:rsid w:val="00EB051D"/>
    <w:rsid w:val="00EB3057"/>
    <w:rsid w:val="00EB3857"/>
    <w:rsid w:val="00EB3D9F"/>
    <w:rsid w:val="00EB46FC"/>
    <w:rsid w:val="00EB536E"/>
    <w:rsid w:val="00EB592B"/>
    <w:rsid w:val="00EB78DA"/>
    <w:rsid w:val="00EC1DB7"/>
    <w:rsid w:val="00EC2790"/>
    <w:rsid w:val="00EC2B09"/>
    <w:rsid w:val="00EC3098"/>
    <w:rsid w:val="00EC3AE8"/>
    <w:rsid w:val="00EC49AF"/>
    <w:rsid w:val="00EC512D"/>
    <w:rsid w:val="00EC51FD"/>
    <w:rsid w:val="00EC5792"/>
    <w:rsid w:val="00EC5AF3"/>
    <w:rsid w:val="00EC5DD9"/>
    <w:rsid w:val="00EC63CE"/>
    <w:rsid w:val="00ED07AC"/>
    <w:rsid w:val="00ED1B0D"/>
    <w:rsid w:val="00ED1C72"/>
    <w:rsid w:val="00ED39DF"/>
    <w:rsid w:val="00ED4E5D"/>
    <w:rsid w:val="00ED52D4"/>
    <w:rsid w:val="00ED5FFD"/>
    <w:rsid w:val="00ED62B9"/>
    <w:rsid w:val="00EE1D57"/>
    <w:rsid w:val="00EE474B"/>
    <w:rsid w:val="00EE5933"/>
    <w:rsid w:val="00EE69D9"/>
    <w:rsid w:val="00EE6F8A"/>
    <w:rsid w:val="00EE76D5"/>
    <w:rsid w:val="00EF0224"/>
    <w:rsid w:val="00EF17B5"/>
    <w:rsid w:val="00EF1832"/>
    <w:rsid w:val="00EF20B1"/>
    <w:rsid w:val="00EF20C8"/>
    <w:rsid w:val="00EF25FE"/>
    <w:rsid w:val="00EF263A"/>
    <w:rsid w:val="00EF3D41"/>
    <w:rsid w:val="00EF4507"/>
    <w:rsid w:val="00EF4EB1"/>
    <w:rsid w:val="00F020CB"/>
    <w:rsid w:val="00F03B98"/>
    <w:rsid w:val="00F059A2"/>
    <w:rsid w:val="00F07C46"/>
    <w:rsid w:val="00F07D01"/>
    <w:rsid w:val="00F114C7"/>
    <w:rsid w:val="00F11D79"/>
    <w:rsid w:val="00F123EA"/>
    <w:rsid w:val="00F12C12"/>
    <w:rsid w:val="00F136F6"/>
    <w:rsid w:val="00F144F8"/>
    <w:rsid w:val="00F15E52"/>
    <w:rsid w:val="00F171AB"/>
    <w:rsid w:val="00F17860"/>
    <w:rsid w:val="00F17D0B"/>
    <w:rsid w:val="00F21C3B"/>
    <w:rsid w:val="00F21DA5"/>
    <w:rsid w:val="00F22722"/>
    <w:rsid w:val="00F228BC"/>
    <w:rsid w:val="00F22995"/>
    <w:rsid w:val="00F22A82"/>
    <w:rsid w:val="00F23392"/>
    <w:rsid w:val="00F23A73"/>
    <w:rsid w:val="00F24258"/>
    <w:rsid w:val="00F24E10"/>
    <w:rsid w:val="00F2555C"/>
    <w:rsid w:val="00F25683"/>
    <w:rsid w:val="00F2638C"/>
    <w:rsid w:val="00F26975"/>
    <w:rsid w:val="00F272E8"/>
    <w:rsid w:val="00F27835"/>
    <w:rsid w:val="00F318B1"/>
    <w:rsid w:val="00F31C31"/>
    <w:rsid w:val="00F3304D"/>
    <w:rsid w:val="00F34187"/>
    <w:rsid w:val="00F3485F"/>
    <w:rsid w:val="00F349D2"/>
    <w:rsid w:val="00F366E3"/>
    <w:rsid w:val="00F3746C"/>
    <w:rsid w:val="00F40BD2"/>
    <w:rsid w:val="00F4154D"/>
    <w:rsid w:val="00F424C9"/>
    <w:rsid w:val="00F43153"/>
    <w:rsid w:val="00F43B48"/>
    <w:rsid w:val="00F4441C"/>
    <w:rsid w:val="00F44AFC"/>
    <w:rsid w:val="00F45023"/>
    <w:rsid w:val="00F45E27"/>
    <w:rsid w:val="00F47F64"/>
    <w:rsid w:val="00F52101"/>
    <w:rsid w:val="00F52DF9"/>
    <w:rsid w:val="00F53E2F"/>
    <w:rsid w:val="00F5477E"/>
    <w:rsid w:val="00F54DC6"/>
    <w:rsid w:val="00F55D64"/>
    <w:rsid w:val="00F57EB1"/>
    <w:rsid w:val="00F60917"/>
    <w:rsid w:val="00F61E38"/>
    <w:rsid w:val="00F627EA"/>
    <w:rsid w:val="00F63260"/>
    <w:rsid w:val="00F6346D"/>
    <w:rsid w:val="00F64186"/>
    <w:rsid w:val="00F6555A"/>
    <w:rsid w:val="00F6603F"/>
    <w:rsid w:val="00F6681B"/>
    <w:rsid w:val="00F67413"/>
    <w:rsid w:val="00F715AD"/>
    <w:rsid w:val="00F71D42"/>
    <w:rsid w:val="00F7303E"/>
    <w:rsid w:val="00F74697"/>
    <w:rsid w:val="00F74CEC"/>
    <w:rsid w:val="00F74D80"/>
    <w:rsid w:val="00F75566"/>
    <w:rsid w:val="00F759D6"/>
    <w:rsid w:val="00F7626C"/>
    <w:rsid w:val="00F77341"/>
    <w:rsid w:val="00F77732"/>
    <w:rsid w:val="00F8068F"/>
    <w:rsid w:val="00F80A32"/>
    <w:rsid w:val="00F80E2E"/>
    <w:rsid w:val="00F814C3"/>
    <w:rsid w:val="00F8261E"/>
    <w:rsid w:val="00F83E7C"/>
    <w:rsid w:val="00F84DC4"/>
    <w:rsid w:val="00F84DF8"/>
    <w:rsid w:val="00F861AA"/>
    <w:rsid w:val="00F86679"/>
    <w:rsid w:val="00F86BA8"/>
    <w:rsid w:val="00F87885"/>
    <w:rsid w:val="00F87B2A"/>
    <w:rsid w:val="00F90139"/>
    <w:rsid w:val="00F9124F"/>
    <w:rsid w:val="00F92707"/>
    <w:rsid w:val="00F927FC"/>
    <w:rsid w:val="00F93459"/>
    <w:rsid w:val="00F954BE"/>
    <w:rsid w:val="00F9611C"/>
    <w:rsid w:val="00F976BF"/>
    <w:rsid w:val="00F97F0A"/>
    <w:rsid w:val="00FA17FA"/>
    <w:rsid w:val="00FA1F03"/>
    <w:rsid w:val="00FA2BA0"/>
    <w:rsid w:val="00FA3B33"/>
    <w:rsid w:val="00FA4242"/>
    <w:rsid w:val="00FA5433"/>
    <w:rsid w:val="00FA5441"/>
    <w:rsid w:val="00FA5AD1"/>
    <w:rsid w:val="00FB32FC"/>
    <w:rsid w:val="00FB374D"/>
    <w:rsid w:val="00FB4222"/>
    <w:rsid w:val="00FB4312"/>
    <w:rsid w:val="00FB4DE8"/>
    <w:rsid w:val="00FB5A03"/>
    <w:rsid w:val="00FB5E69"/>
    <w:rsid w:val="00FB71EE"/>
    <w:rsid w:val="00FB7841"/>
    <w:rsid w:val="00FC0697"/>
    <w:rsid w:val="00FC1007"/>
    <w:rsid w:val="00FC110D"/>
    <w:rsid w:val="00FC1274"/>
    <w:rsid w:val="00FC1547"/>
    <w:rsid w:val="00FC20F0"/>
    <w:rsid w:val="00FC2D30"/>
    <w:rsid w:val="00FC2D4D"/>
    <w:rsid w:val="00FC47E3"/>
    <w:rsid w:val="00FC4C74"/>
    <w:rsid w:val="00FC5808"/>
    <w:rsid w:val="00FD055F"/>
    <w:rsid w:val="00FD12C8"/>
    <w:rsid w:val="00FD1A26"/>
    <w:rsid w:val="00FD20B9"/>
    <w:rsid w:val="00FD34BA"/>
    <w:rsid w:val="00FD3EC6"/>
    <w:rsid w:val="00FD4B2A"/>
    <w:rsid w:val="00FD4D39"/>
    <w:rsid w:val="00FD4DFA"/>
    <w:rsid w:val="00FD4FFB"/>
    <w:rsid w:val="00FD58B8"/>
    <w:rsid w:val="00FD5D8D"/>
    <w:rsid w:val="00FD62C9"/>
    <w:rsid w:val="00FD6317"/>
    <w:rsid w:val="00FD78FC"/>
    <w:rsid w:val="00FE09CE"/>
    <w:rsid w:val="00FE13AD"/>
    <w:rsid w:val="00FE2BEF"/>
    <w:rsid w:val="00FE369B"/>
    <w:rsid w:val="00FE48CF"/>
    <w:rsid w:val="00FE537A"/>
    <w:rsid w:val="00FE64BF"/>
    <w:rsid w:val="00FE6D95"/>
    <w:rsid w:val="00FF072D"/>
    <w:rsid w:val="00FF0B7C"/>
    <w:rsid w:val="00FF0B9A"/>
    <w:rsid w:val="00FF1F89"/>
    <w:rsid w:val="00FF2123"/>
    <w:rsid w:val="00FF462E"/>
    <w:rsid w:val="00FF46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BC00"/>
  <w15:docId w15:val="{73950F8C-72D8-4C67-A214-455ABAA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uiPriority w:val="39"/>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355CDE"/>
    <w:pPr>
      <w:tabs>
        <w:tab w:val="right" w:leader="dot" w:pos="9346"/>
      </w:tabs>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2953B4"/>
    <w:pPr>
      <w:tabs>
        <w:tab w:val="right" w:leader="dot" w:pos="9346"/>
      </w:tabs>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 w:type="table" w:customStyle="1" w:styleId="TableGrid1">
    <w:name w:val="Table Grid1"/>
    <w:basedOn w:val="TableNormal"/>
    <w:next w:val="TableGrid"/>
    <w:uiPriority w:val="59"/>
    <w:rsid w:val="001C7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4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2407753">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https://eumis2020.government.bg/bg/s/Home/Manual" TargetMode="External"/><Relationship Id="rId3" Type="http://schemas.openxmlformats.org/officeDocument/2006/relationships/styles" Target="styles.xml"/><Relationship Id="rId21" Type="http://schemas.openxmlformats.org/officeDocument/2006/relationships/hyperlink" Target="apis://Base=NARH&amp;DocCode=86925&amp;Type=201/" TargetMode="Externa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https://eumis2020.government.b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APEV&amp;CELEX=32014R0809&amp;Type=201/" TargetMode="External"/><Relationship Id="rId29" Type="http://schemas.openxmlformats.org/officeDocument/2006/relationships/hyperlink" Target="http://mig-pomori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http://eumis2020.government.b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https://www.youtube.com/watch?v=x6T0AavwC68" TargetMode="External"/><Relationship Id="rId28" Type="http://schemas.openxmlformats.org/officeDocument/2006/relationships/hyperlink" Target="mailto:office@mig-pomorie.eu"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499&amp;ToPar=Art2_Al1&amp;Type=2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http://www.mig-pomorie.eu" TargetMode="External"/><Relationship Id="rId27" Type="http://schemas.openxmlformats.org/officeDocument/2006/relationships/hyperlink" Target="https://eumis2020.government.bg." TargetMode="External"/><Relationship Id="rId30" Type="http://schemas.openxmlformats.org/officeDocument/2006/relationships/header" Target="header1.xml"/><Relationship Id="rId8" Type="http://schemas.openxmlformats.org/officeDocument/2006/relationships/hyperlink" Target="apis://Base=APEV&amp;CELEX=32013R1305&amp;ToPar=Art63&amp;Type=2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515B-FEEE-4B6B-8A7F-151183B7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50</Pages>
  <Words>15419</Words>
  <Characters>87889</Characters>
  <Application>Microsoft Office Word</Application>
  <DocSecurity>0</DocSecurity>
  <Lines>732</Lines>
  <Paragraphs>206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103102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45</cp:revision>
  <cp:lastPrinted>2018-10-04T12:10:00Z</cp:lastPrinted>
  <dcterms:created xsi:type="dcterms:W3CDTF">2022-04-04T09:15:00Z</dcterms:created>
  <dcterms:modified xsi:type="dcterms:W3CDTF">2022-08-17T08:55:00Z</dcterms:modified>
</cp:coreProperties>
</file>