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C296D9" w14:textId="77777777" w:rsidR="00E50B69" w:rsidRPr="00075CCB" w:rsidRDefault="00E50B69" w:rsidP="00132E8E">
      <w:pPr>
        <w:jc w:val="center"/>
        <w:rPr>
          <w:rFonts w:ascii="Times New Roman" w:hAnsi="Times New Roman" w:cs="Times New Roman"/>
          <w:b/>
          <w:sz w:val="24"/>
          <w:szCs w:val="24"/>
          <w:lang w:val="en-US"/>
        </w:rPr>
      </w:pPr>
    </w:p>
    <w:p w14:paraId="7121C7D7" w14:textId="77777777" w:rsidR="00132E8E" w:rsidRPr="00FD78FC" w:rsidRDefault="00132E8E" w:rsidP="00132E8E">
      <w:pPr>
        <w:jc w:val="center"/>
        <w:rPr>
          <w:rFonts w:ascii="Times New Roman" w:hAnsi="Times New Roman" w:cs="Times New Roman"/>
          <w:b/>
          <w:bCs/>
          <w:color w:val="FF0000"/>
        </w:rPr>
      </w:pPr>
    </w:p>
    <w:p w14:paraId="37FC681C" w14:textId="77777777" w:rsidR="00D24E27" w:rsidRPr="007713C1" w:rsidRDefault="00D24E27" w:rsidP="00D24E27">
      <w:pPr>
        <w:jc w:val="center"/>
        <w:rPr>
          <w:rFonts w:ascii="Times New Roman" w:hAnsi="Times New Roman" w:cs="Times New Roman"/>
          <w:b/>
          <w:sz w:val="40"/>
          <w:szCs w:val="40"/>
        </w:rPr>
      </w:pPr>
      <w:r w:rsidRPr="007713C1">
        <w:rPr>
          <w:rFonts w:ascii="Times New Roman" w:hAnsi="Times New Roman" w:cs="Times New Roman"/>
          <w:b/>
          <w:sz w:val="40"/>
          <w:szCs w:val="40"/>
        </w:rPr>
        <w:t>УСЛОВИЯ ЗА КАНДИДАТСТВАНЕ</w:t>
      </w:r>
    </w:p>
    <w:p w14:paraId="6932CE50" w14:textId="77777777" w:rsidR="00A92EA8" w:rsidRDefault="00A92EA8" w:rsidP="00A92EA8">
      <w:pPr>
        <w:spacing w:before="160" w:line="360" w:lineRule="auto"/>
        <w:jc w:val="center"/>
        <w:rPr>
          <w:rFonts w:ascii="Times New Roman" w:hAnsi="Times New Roman" w:cs="Times New Roman"/>
          <w:b/>
          <w:sz w:val="32"/>
          <w:szCs w:val="32"/>
        </w:rPr>
      </w:pPr>
      <w:r>
        <w:rPr>
          <w:rFonts w:ascii="Times New Roman" w:hAnsi="Times New Roman" w:cs="Times New Roman"/>
          <w:b/>
          <w:sz w:val="32"/>
          <w:szCs w:val="32"/>
        </w:rPr>
        <w:t xml:space="preserve">с проектни предложения </w:t>
      </w:r>
      <w:r w:rsidR="00D24E27" w:rsidRPr="007713C1">
        <w:rPr>
          <w:rFonts w:ascii="Times New Roman" w:hAnsi="Times New Roman" w:cs="Times New Roman"/>
          <w:b/>
          <w:sz w:val="32"/>
          <w:szCs w:val="32"/>
        </w:rPr>
        <w:t xml:space="preserve">за предоставяне </w:t>
      </w:r>
      <w:r>
        <w:rPr>
          <w:rFonts w:ascii="Times New Roman" w:hAnsi="Times New Roman" w:cs="Times New Roman"/>
          <w:b/>
          <w:sz w:val="32"/>
          <w:szCs w:val="32"/>
        </w:rPr>
        <w:t>на безвъзмездна финансова помощ</w:t>
      </w:r>
    </w:p>
    <w:p w14:paraId="5D21D297" w14:textId="77777777" w:rsidR="00D24E27" w:rsidRPr="007713C1" w:rsidRDefault="00D24E27" w:rsidP="00A92EA8">
      <w:pPr>
        <w:spacing w:before="160" w:line="360" w:lineRule="auto"/>
        <w:jc w:val="center"/>
        <w:rPr>
          <w:rFonts w:ascii="Times New Roman" w:hAnsi="Times New Roman" w:cs="Times New Roman"/>
          <w:b/>
          <w:sz w:val="32"/>
          <w:szCs w:val="32"/>
        </w:rPr>
      </w:pPr>
      <w:r w:rsidRPr="007713C1">
        <w:rPr>
          <w:rFonts w:ascii="Times New Roman" w:hAnsi="Times New Roman" w:cs="Times New Roman"/>
          <w:b/>
          <w:sz w:val="32"/>
          <w:szCs w:val="32"/>
        </w:rPr>
        <w:t>по</w:t>
      </w:r>
    </w:p>
    <w:p w14:paraId="7598CA89" w14:textId="77777777" w:rsidR="00A92EA8" w:rsidRDefault="00A92EA8" w:rsidP="00A92EA8">
      <w:pPr>
        <w:spacing w:before="160" w:line="360" w:lineRule="auto"/>
        <w:jc w:val="center"/>
        <w:rPr>
          <w:rFonts w:ascii="Times New Roman" w:hAnsi="Times New Roman" w:cs="Times New Roman"/>
          <w:b/>
          <w:sz w:val="32"/>
          <w:szCs w:val="32"/>
        </w:rPr>
      </w:pPr>
      <w:r>
        <w:rPr>
          <w:rFonts w:ascii="Times New Roman" w:hAnsi="Times New Roman" w:cs="Times New Roman"/>
          <w:b/>
          <w:sz w:val="32"/>
          <w:szCs w:val="32"/>
        </w:rPr>
        <w:t xml:space="preserve">Програма за развитие на селските райони  </w:t>
      </w:r>
      <w:r w:rsidR="00D24E27" w:rsidRPr="007713C1">
        <w:rPr>
          <w:rFonts w:ascii="Times New Roman" w:hAnsi="Times New Roman" w:cs="Times New Roman"/>
          <w:b/>
          <w:sz w:val="32"/>
          <w:szCs w:val="32"/>
        </w:rPr>
        <w:t>2014-2020</w:t>
      </w:r>
    </w:p>
    <w:p w14:paraId="019EE841" w14:textId="77777777" w:rsidR="00BD49D7" w:rsidRDefault="00BD49D7" w:rsidP="00A92EA8">
      <w:pPr>
        <w:spacing w:before="160" w:line="360" w:lineRule="auto"/>
        <w:jc w:val="center"/>
        <w:rPr>
          <w:rFonts w:ascii="Times New Roman" w:hAnsi="Times New Roman" w:cs="Times New Roman"/>
          <w:b/>
          <w:sz w:val="32"/>
          <w:szCs w:val="32"/>
        </w:rPr>
      </w:pPr>
      <w:r>
        <w:rPr>
          <w:rFonts w:ascii="Times New Roman" w:hAnsi="Times New Roman" w:cs="Times New Roman"/>
          <w:b/>
          <w:sz w:val="32"/>
          <w:szCs w:val="32"/>
        </w:rPr>
        <w:t>чрез подхода</w:t>
      </w:r>
    </w:p>
    <w:p w14:paraId="4840AA1A" w14:textId="77777777" w:rsidR="007718CE" w:rsidRPr="00925B41" w:rsidRDefault="00170A94" w:rsidP="00BF2C64">
      <w:pPr>
        <w:spacing w:before="160" w:line="360" w:lineRule="auto"/>
        <w:jc w:val="center"/>
        <w:rPr>
          <w:rFonts w:ascii="Times New Roman" w:hAnsi="Times New Roman" w:cs="Times New Roman"/>
          <w:b/>
          <w:sz w:val="32"/>
          <w:szCs w:val="32"/>
        </w:rPr>
      </w:pPr>
      <w:r w:rsidRPr="00925B41">
        <w:rPr>
          <w:rFonts w:ascii="Times New Roman" w:hAnsi="Times New Roman" w:cs="Times New Roman"/>
          <w:b/>
          <w:sz w:val="32"/>
          <w:szCs w:val="32"/>
        </w:rPr>
        <w:t>ВОДЕНО ОТ ОБЩНОСТИТЕ МЕСТНО РАЗВИТИЕ</w:t>
      </w:r>
    </w:p>
    <w:p w14:paraId="73CA92E4" w14:textId="77777777" w:rsidR="00177AC9" w:rsidRPr="007713C1" w:rsidRDefault="00177AC9" w:rsidP="009C0B06">
      <w:pPr>
        <w:jc w:val="center"/>
        <w:rPr>
          <w:rFonts w:ascii="Times New Roman" w:hAnsi="Times New Roman" w:cs="Times New Roman"/>
        </w:rPr>
      </w:pPr>
    </w:p>
    <w:tbl>
      <w:tblPr>
        <w:tblStyle w:val="TableGrid"/>
        <w:tblW w:w="0" w:type="auto"/>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ook w:val="04A0" w:firstRow="1" w:lastRow="0" w:firstColumn="1" w:lastColumn="0" w:noHBand="0" w:noVBand="1"/>
      </w:tblPr>
      <w:tblGrid>
        <w:gridCol w:w="9340"/>
      </w:tblGrid>
      <w:tr w:rsidR="00D24E27" w:rsidRPr="007713C1" w14:paraId="331AB0D1" w14:textId="77777777" w:rsidTr="00BF2C64">
        <w:trPr>
          <w:trHeight w:val="470"/>
        </w:trPr>
        <w:tc>
          <w:tcPr>
            <w:tcW w:w="9496" w:type="dxa"/>
            <w:shd w:val="clear" w:color="auto" w:fill="CCECFF"/>
          </w:tcPr>
          <w:p w14:paraId="3D722C44" w14:textId="61588F01" w:rsidR="00D24E27" w:rsidRPr="00FD78FC" w:rsidRDefault="00D24E27" w:rsidP="009A274C">
            <w:pPr>
              <w:spacing w:before="240" w:after="240"/>
              <w:jc w:val="center"/>
              <w:rPr>
                <w:b/>
                <w:sz w:val="28"/>
                <w:szCs w:val="28"/>
              </w:rPr>
            </w:pPr>
            <w:r w:rsidRPr="00FD78FC">
              <w:rPr>
                <w:b/>
                <w:sz w:val="28"/>
                <w:szCs w:val="28"/>
              </w:rPr>
              <w:t xml:space="preserve">Процедура </w:t>
            </w:r>
            <w:r w:rsidR="00303BC8" w:rsidRPr="007713C1">
              <w:rPr>
                <w:b/>
                <w:sz w:val="28"/>
                <w:szCs w:val="28"/>
              </w:rPr>
              <w:t>чрез</w:t>
            </w:r>
            <w:r w:rsidRPr="00FD78FC">
              <w:rPr>
                <w:b/>
                <w:sz w:val="28"/>
                <w:szCs w:val="28"/>
              </w:rPr>
              <w:t xml:space="preserve"> подбор на проект</w:t>
            </w:r>
            <w:r w:rsidR="000F4530" w:rsidRPr="007713C1">
              <w:rPr>
                <w:b/>
                <w:sz w:val="28"/>
                <w:szCs w:val="28"/>
              </w:rPr>
              <w:t>н</w:t>
            </w:r>
            <w:r w:rsidRPr="00FD78FC">
              <w:rPr>
                <w:b/>
                <w:sz w:val="28"/>
                <w:szCs w:val="28"/>
              </w:rPr>
              <w:t>и</w:t>
            </w:r>
            <w:r w:rsidR="000F4530" w:rsidRPr="00FD78FC">
              <w:rPr>
                <w:b/>
                <w:sz w:val="28"/>
                <w:szCs w:val="28"/>
              </w:rPr>
              <w:t xml:space="preserve"> предложения</w:t>
            </w:r>
            <w:r w:rsidR="00391B57">
              <w:rPr>
                <w:b/>
                <w:sz w:val="28"/>
                <w:szCs w:val="28"/>
              </w:rPr>
              <w:t xml:space="preserve"> с </w:t>
            </w:r>
            <w:r w:rsidR="002C5153">
              <w:rPr>
                <w:b/>
                <w:sz w:val="28"/>
                <w:szCs w:val="28"/>
              </w:rPr>
              <w:t>няколко</w:t>
            </w:r>
            <w:r w:rsidR="00F25683" w:rsidRPr="00FD78FC">
              <w:rPr>
                <w:b/>
                <w:sz w:val="28"/>
                <w:szCs w:val="28"/>
              </w:rPr>
              <w:t xml:space="preserve"> </w:t>
            </w:r>
            <w:r w:rsidR="00931F25">
              <w:rPr>
                <w:b/>
                <w:sz w:val="28"/>
                <w:szCs w:val="28"/>
              </w:rPr>
              <w:t xml:space="preserve">крайни </w:t>
            </w:r>
            <w:r w:rsidRPr="00FD78FC">
              <w:rPr>
                <w:b/>
                <w:sz w:val="28"/>
                <w:szCs w:val="28"/>
              </w:rPr>
              <w:t>срока за кандидатстване</w:t>
            </w:r>
          </w:p>
          <w:p w14:paraId="6018F4DC" w14:textId="4279EB51" w:rsidR="00D24E27" w:rsidRDefault="00D24E27" w:rsidP="00F2638C">
            <w:pPr>
              <w:spacing w:before="240" w:after="240"/>
              <w:jc w:val="center"/>
              <w:rPr>
                <w:b/>
                <w:caps/>
                <w:color w:val="000000" w:themeColor="text1"/>
                <w:sz w:val="28"/>
                <w:szCs w:val="28"/>
              </w:rPr>
            </w:pPr>
            <w:r w:rsidRPr="00FD78FC">
              <w:rPr>
                <w:b/>
                <w:sz w:val="28"/>
                <w:szCs w:val="28"/>
              </w:rPr>
              <w:t>BG0</w:t>
            </w:r>
            <w:r w:rsidR="00F2638C">
              <w:rPr>
                <w:b/>
                <w:sz w:val="28"/>
                <w:szCs w:val="28"/>
                <w:lang w:val="en-US"/>
              </w:rPr>
              <w:t>6RDNP001-19</w:t>
            </w:r>
            <w:r w:rsidR="008916EB">
              <w:rPr>
                <w:b/>
                <w:sz w:val="28"/>
                <w:szCs w:val="28"/>
              </w:rPr>
              <w:t>.</w:t>
            </w:r>
            <w:r w:rsidR="00934856">
              <w:rPr>
                <w:b/>
                <w:sz w:val="28"/>
                <w:szCs w:val="28"/>
              </w:rPr>
              <w:t xml:space="preserve">002 </w:t>
            </w:r>
            <w:r w:rsidR="008916EB">
              <w:rPr>
                <w:b/>
                <w:sz w:val="28"/>
                <w:szCs w:val="28"/>
              </w:rPr>
              <w:t>МИГ_Поморие_10_1_</w:t>
            </w:r>
            <w:r w:rsidR="00D80675">
              <w:rPr>
                <w:b/>
                <w:sz w:val="28"/>
                <w:szCs w:val="28"/>
                <w:lang w:val="en-US"/>
              </w:rPr>
              <w:t xml:space="preserve">7.2. </w:t>
            </w:r>
            <w:r w:rsidR="008916EB">
              <w:rPr>
                <w:b/>
                <w:sz w:val="28"/>
                <w:szCs w:val="28"/>
              </w:rPr>
              <w:t>М4_</w:t>
            </w:r>
            <w:r w:rsidR="00925B41">
              <w:rPr>
                <w:b/>
                <w:color w:val="000000" w:themeColor="text1"/>
                <w:sz w:val="28"/>
                <w:szCs w:val="28"/>
              </w:rPr>
              <w:t>“</w:t>
            </w:r>
            <w:r w:rsidR="00A92EA8">
              <w:rPr>
                <w:b/>
                <w:color w:val="000000" w:themeColor="text1"/>
                <w:sz w:val="28"/>
                <w:szCs w:val="28"/>
              </w:rPr>
              <w:t xml:space="preserve">ИНВЕСТИЦИИ В </w:t>
            </w:r>
            <w:r w:rsidR="004527D7">
              <w:rPr>
                <w:b/>
                <w:color w:val="000000" w:themeColor="text1"/>
                <w:sz w:val="28"/>
                <w:szCs w:val="28"/>
              </w:rPr>
              <w:t>СЪЗДАВАНЕТО, ПОДОБРЯВАНЕТО ИЛИ РАЗШИРЯВАНЕТО НА ВСИЧ</w:t>
            </w:r>
            <w:r w:rsidR="0006155D">
              <w:rPr>
                <w:b/>
                <w:color w:val="000000" w:themeColor="text1"/>
                <w:sz w:val="28"/>
                <w:szCs w:val="28"/>
              </w:rPr>
              <w:t>КИ ВИДОВЕ МАЛКА ПО МАЩАБИ ИНФРА</w:t>
            </w:r>
            <w:r w:rsidR="004527D7">
              <w:rPr>
                <w:b/>
                <w:color w:val="000000" w:themeColor="text1"/>
                <w:sz w:val="28"/>
                <w:szCs w:val="28"/>
              </w:rPr>
              <w:t>С</w:t>
            </w:r>
            <w:r w:rsidR="0006155D">
              <w:rPr>
                <w:b/>
                <w:color w:val="000000" w:themeColor="text1"/>
                <w:sz w:val="28"/>
                <w:szCs w:val="28"/>
              </w:rPr>
              <w:t>Т</w:t>
            </w:r>
            <w:r w:rsidR="004527D7">
              <w:rPr>
                <w:b/>
                <w:color w:val="000000" w:themeColor="text1"/>
                <w:sz w:val="28"/>
                <w:szCs w:val="28"/>
              </w:rPr>
              <w:t>РУКТУРА</w:t>
            </w:r>
            <w:r w:rsidR="00925B41">
              <w:rPr>
                <w:b/>
                <w:caps/>
                <w:color w:val="000000" w:themeColor="text1"/>
                <w:sz w:val="28"/>
                <w:szCs w:val="28"/>
              </w:rPr>
              <w:t>”</w:t>
            </w:r>
          </w:p>
          <w:p w14:paraId="387672B1" w14:textId="77777777" w:rsidR="00445CEF" w:rsidRPr="00FD78FC" w:rsidRDefault="00445CEF" w:rsidP="00F2638C">
            <w:pPr>
              <w:spacing w:before="240" w:after="240"/>
              <w:jc w:val="center"/>
            </w:pPr>
            <w:r>
              <w:t>МЕСТНА ИНИЦИАТИВНА ГРУПА ПОМОРИЕ</w:t>
            </w:r>
          </w:p>
        </w:tc>
      </w:tr>
    </w:tbl>
    <w:p w14:paraId="21FE0477" w14:textId="77777777" w:rsidR="007718CE" w:rsidRPr="00FD78FC" w:rsidRDefault="007718CE" w:rsidP="009C0B06">
      <w:pPr>
        <w:jc w:val="center"/>
        <w:rPr>
          <w:rFonts w:ascii="Times New Roman" w:hAnsi="Times New Roman" w:cs="Times New Roman"/>
        </w:rPr>
      </w:pPr>
    </w:p>
    <w:p w14:paraId="28FE0819" w14:textId="77777777" w:rsidR="008D413D" w:rsidRPr="00FD78FC" w:rsidRDefault="008D413D" w:rsidP="009C0B06">
      <w:pPr>
        <w:jc w:val="center"/>
        <w:rPr>
          <w:rFonts w:ascii="Times New Roman" w:hAnsi="Times New Roman" w:cs="Times New Roman"/>
        </w:rPr>
      </w:pPr>
    </w:p>
    <w:p w14:paraId="348969C5" w14:textId="77777777" w:rsidR="009C0B06" w:rsidRPr="00FD78FC" w:rsidRDefault="00AF5CC7" w:rsidP="009C0B06">
      <w:pPr>
        <w:jc w:val="center"/>
        <w:rPr>
          <w:rFonts w:ascii="Times New Roman" w:hAnsi="Times New Roman" w:cs="Times New Roman"/>
        </w:rPr>
      </w:pPr>
      <w:r>
        <w:rPr>
          <w:rFonts w:ascii="Times New Roman" w:hAnsi="Times New Roman" w:cs="Times New Roman"/>
          <w:noProof/>
          <w:lang w:val="en-US"/>
        </w:rPr>
        <mc:AlternateContent>
          <mc:Choice Requires="wpc">
            <w:drawing>
              <wp:inline distT="0" distB="0" distL="0" distR="0" wp14:anchorId="5446C21A" wp14:editId="39913743">
                <wp:extent cx="5991225" cy="419100"/>
                <wp:effectExtent l="4445" t="1905" r="0" b="0"/>
                <wp:docPr id="6"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 name="Line 4"/>
                        <wps:cNvCnPr>
                          <a:cxnSpLocks noChangeShapeType="1"/>
                        </wps:cNvCnPr>
                        <wps:spPr bwMode="auto">
                          <a:xfrm flipV="1">
                            <a:off x="35900" y="139100"/>
                            <a:ext cx="2772312" cy="1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5"/>
                        <wps:cNvSpPr>
                          <a:spLocks noChangeArrowheads="1"/>
                        </wps:cNvSpPr>
                        <wps:spPr bwMode="auto">
                          <a:xfrm>
                            <a:off x="2927212" y="68200"/>
                            <a:ext cx="318501" cy="14350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 name="Line 6"/>
                        <wps:cNvCnPr>
                          <a:cxnSpLocks noChangeShapeType="1"/>
                        </wps:cNvCnPr>
                        <wps:spPr bwMode="auto">
                          <a:xfrm flipV="1">
                            <a:off x="3388314" y="140800"/>
                            <a:ext cx="2545711" cy="6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xmlns:mo="http://schemas.microsoft.com/office/mac/office/2008/main" xmlns:mv="urn:schemas-microsoft-com:mac:vml">
            <w:pict>
              <v:group w14:anchorId="74770130" id="Canvas 2" o:spid="_x0000_s1026" editas="canvas" style="width:471.75pt;height:33pt;mso-position-horizontal-relative:char;mso-position-vertical-relative:line" coordsize="59912,4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912;height:4191;visibility:visible;mso-wrap-style:square">
                  <v:fill o:detectmouseclick="t"/>
                  <v:path o:connecttype="none"/>
                </v:shape>
                <v:line id="Line 4" o:spid="_x0000_s1028" style="position:absolute;flip:y;visibility:visible;mso-wrap-style:square" from="359,1391" to="28082,14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MJ4+8UAAADaAAAADwAAAGRycy9kb3ducmV2LnhtbESPQWsCMRSE7wX/Q3hCL6VmbYvY1Sgi&#10;CB68VGWlt9fNc7Ps5mVNom7/fVMo9DjMzDfMfNnbVtzIh9qxgvEoA0FcOl1zpeB42DxPQYSIrLF1&#10;TAq+KcByMXiYY67dnT/oto+VSBAOOSowMXa5lKE0ZDGMXEecvLPzFmOSvpLa4z3BbStfsmwiLdac&#10;Fgx2tDZUNvurVSCnu6eLX329NUVzOr2boiy6z51Sj8N+NQMRqY//4b/2Vit4hd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MJ4+8UAAADaAAAADwAAAAAAAAAA&#10;AAAAAAChAgAAZHJzL2Rvd25yZXYueG1sUEsFBgAAAAAEAAQA+QAAAJMDAAAAAA==&#10;"/>
                <v:shapetype id="_x0000_t110" coordsize="21600,21600" o:spt="110" path="m10800,l,10800,10800,21600,21600,10800xe">
                  <v:stroke joinstyle="miter"/>
                  <v:path gradientshapeok="t" o:connecttype="rect" textboxrect="5400,5400,16200,16200"/>
                </v:shapetype>
                <v:shape id="AutoShape 5" o:spid="_x0000_s1029" type="#_x0000_t110" style="position:absolute;left:29272;top:682;width:3185;height:1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kx/MQA&#10;AADaAAAADwAAAGRycy9kb3ducmV2LnhtbESPQWvCQBSE7wX/w/IKvemmNmhJXUWE0h5E1BbPr9ln&#10;Epr3NmRXk/rrXUHocZiZb5jZoudanan1lRMDz6MEFEnubCWFge+v9+ErKB9QLNZOyMAfeVjMBw8z&#10;zKzrZEfnfShUhIjP0EAZQpNp7fOSGP3INSTRO7qWMUTZFtq22EU413qcJBPNWElcKLGhVUn57/7E&#10;BrY/6Za79eXI60t64Pr0MT1sXox5euyXb6AC9eE/fG9/WgMp3K7EG6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5MfzEAAAA2gAAAA8AAAAAAAAAAAAAAAAAmAIAAGRycy9k&#10;b3ducmV2LnhtbFBLBQYAAAAABAAEAPUAAACJAwAAAAA=&#10;"/>
                <v:line id="Line 6" o:spid="_x0000_s1030" style="position:absolute;flip:y;visibility:visible;mso-wrap-style:square" from="33883,1408" to="59340,14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dFFMUAAADaAAAADwAAAGRycy9kb3ducmV2LnhtbESPQWsCMRSE7wX/Q3hCL6VmLa3Y1Sgi&#10;CB68VGWlt9fNc7Ps5mVNom7/fVMo9DjMzDfMfNnbVtzIh9qxgvEoA0FcOl1zpeB42DxPQYSIrLF1&#10;TAq+KcByMXiYY67dnT/oto+VSBAOOSowMXa5lKE0ZDGMXEecvLPzFmOSvpLa4z3BbStfsmwiLdac&#10;Fgx2tDZUNvurVSCnu6eLX329NkVzOr2boiy6z51Sj8N+NQMRqY//4b/2Vit4g9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GdFFMUAAADaAAAADwAAAAAAAAAA&#10;AAAAAAChAgAAZHJzL2Rvd25yZXYueG1sUEsFBgAAAAAEAAQA+QAAAJMDAAAAAA==&#10;"/>
                <w10:anchorlock/>
              </v:group>
            </w:pict>
          </mc:Fallback>
        </mc:AlternateContent>
      </w:r>
    </w:p>
    <w:p w14:paraId="16AB775F" w14:textId="77777777" w:rsidR="00D24E27" w:rsidRPr="007713C1" w:rsidRDefault="00D24E27">
      <w:pPr>
        <w:rPr>
          <w:rFonts w:ascii="Times New Roman" w:eastAsia="Times New Roman" w:hAnsi="Times New Roman" w:cs="Times New Roman"/>
          <w:b/>
          <w:bCs/>
          <w:noProof/>
          <w:snapToGrid w:val="0"/>
        </w:rPr>
      </w:pPr>
      <w:r w:rsidRPr="007713C1">
        <w:rPr>
          <w:rFonts w:ascii="Times New Roman" w:hAnsi="Times New Roman" w:cs="Times New Roman"/>
          <w:b/>
        </w:rPr>
        <w:br w:type="page"/>
      </w:r>
    </w:p>
    <w:p w14:paraId="4B0F31F5" w14:textId="77777777" w:rsidR="003A2D4B" w:rsidRPr="007713C1" w:rsidRDefault="003A2D4B" w:rsidP="007F5391">
      <w:pPr>
        <w:rPr>
          <w:rFonts w:ascii="Times New Roman" w:hAnsi="Times New Roman" w:cs="Times New Roman"/>
          <w:b/>
          <w:sz w:val="28"/>
          <w:szCs w:val="28"/>
        </w:rPr>
      </w:pPr>
      <w:r w:rsidRPr="007713C1">
        <w:rPr>
          <w:rFonts w:ascii="Times New Roman" w:hAnsi="Times New Roman" w:cs="Times New Roman"/>
          <w:b/>
          <w:sz w:val="28"/>
          <w:szCs w:val="28"/>
        </w:rPr>
        <w:lastRenderedPageBreak/>
        <w:t>СЪДЪРЖАНИЕ:</w:t>
      </w:r>
    </w:p>
    <w:sdt>
      <w:sdtPr>
        <w:rPr>
          <w:rFonts w:asciiTheme="minorHAnsi" w:hAnsiTheme="minorHAnsi" w:cstheme="minorBidi"/>
          <w:b w:val="0"/>
          <w:color w:val="auto"/>
          <w:sz w:val="24"/>
          <w:szCs w:val="24"/>
          <w:lang w:eastAsia="en-US"/>
        </w:rPr>
        <w:id w:val="1082108175"/>
        <w:docPartObj>
          <w:docPartGallery w:val="Table of Contents"/>
          <w:docPartUnique/>
        </w:docPartObj>
      </w:sdtPr>
      <w:sdtEndPr>
        <w:rPr>
          <w:bCs/>
        </w:rPr>
      </w:sdtEndPr>
      <w:sdtContent>
        <w:p w14:paraId="20FC518F" w14:textId="77777777" w:rsidR="0035525C" w:rsidRPr="00C507D2" w:rsidRDefault="0035525C">
          <w:pPr>
            <w:pStyle w:val="TOCHeading"/>
            <w:rPr>
              <w:sz w:val="24"/>
              <w:szCs w:val="24"/>
            </w:rPr>
          </w:pPr>
        </w:p>
        <w:p w14:paraId="46F9C2CC" w14:textId="77777777" w:rsidR="00C507D2" w:rsidRPr="00C507D2" w:rsidRDefault="0035525C">
          <w:pPr>
            <w:pStyle w:val="TOC1"/>
            <w:rPr>
              <w:rFonts w:ascii="Times New Roman" w:eastAsiaTheme="minorEastAsia" w:hAnsi="Times New Roman" w:cs="Times New Roman"/>
              <w:b w:val="0"/>
              <w:bCs w:val="0"/>
              <w:noProof/>
              <w:sz w:val="22"/>
              <w:szCs w:val="22"/>
              <w:lang w:eastAsia="bg-BG"/>
            </w:rPr>
          </w:pPr>
          <w:r w:rsidRPr="00C507D2">
            <w:rPr>
              <w:rFonts w:ascii="Times New Roman" w:hAnsi="Times New Roman" w:cs="Times New Roman"/>
            </w:rPr>
            <w:fldChar w:fldCharType="begin"/>
          </w:r>
          <w:r w:rsidRPr="00C507D2">
            <w:rPr>
              <w:rFonts w:ascii="Times New Roman" w:hAnsi="Times New Roman" w:cs="Times New Roman"/>
            </w:rPr>
            <w:instrText xml:space="preserve"> TOC \o "1-3" \h \z \u </w:instrText>
          </w:r>
          <w:r w:rsidRPr="00C507D2">
            <w:rPr>
              <w:rFonts w:ascii="Times New Roman" w:hAnsi="Times New Roman" w:cs="Times New Roman"/>
            </w:rPr>
            <w:fldChar w:fldCharType="separate"/>
          </w:r>
          <w:hyperlink w:anchor="_Toc534292197" w:history="1">
            <w:r w:rsidR="00C507D2" w:rsidRPr="00C507D2">
              <w:rPr>
                <w:rStyle w:val="Hyperlink"/>
                <w:rFonts w:ascii="Times New Roman" w:hAnsi="Times New Roman" w:cs="Times New Roman"/>
                <w:noProof/>
              </w:rPr>
              <w:t>1. Наименование на програмата:</w:t>
            </w:r>
            <w:r w:rsidR="00C507D2" w:rsidRPr="00C507D2">
              <w:rPr>
                <w:rFonts w:ascii="Times New Roman" w:hAnsi="Times New Roman" w:cs="Times New Roman"/>
                <w:noProof/>
                <w:webHidden/>
              </w:rPr>
              <w:tab/>
            </w:r>
            <w:r w:rsidR="00C507D2" w:rsidRPr="00C507D2">
              <w:rPr>
                <w:rFonts w:ascii="Times New Roman" w:hAnsi="Times New Roman" w:cs="Times New Roman"/>
                <w:noProof/>
                <w:webHidden/>
              </w:rPr>
              <w:fldChar w:fldCharType="begin"/>
            </w:r>
            <w:r w:rsidR="00C507D2" w:rsidRPr="00C507D2">
              <w:rPr>
                <w:rFonts w:ascii="Times New Roman" w:hAnsi="Times New Roman" w:cs="Times New Roman"/>
                <w:noProof/>
                <w:webHidden/>
              </w:rPr>
              <w:instrText xml:space="preserve"> PAGEREF _Toc534292197 \h </w:instrText>
            </w:r>
            <w:r w:rsidR="00C507D2" w:rsidRPr="00C507D2">
              <w:rPr>
                <w:rFonts w:ascii="Times New Roman" w:hAnsi="Times New Roman" w:cs="Times New Roman"/>
                <w:noProof/>
                <w:webHidden/>
              </w:rPr>
            </w:r>
            <w:r w:rsidR="00C507D2" w:rsidRPr="00C507D2">
              <w:rPr>
                <w:rFonts w:ascii="Times New Roman" w:hAnsi="Times New Roman" w:cs="Times New Roman"/>
                <w:noProof/>
                <w:webHidden/>
              </w:rPr>
              <w:fldChar w:fldCharType="separate"/>
            </w:r>
            <w:r w:rsidR="00C507D2" w:rsidRPr="00C507D2">
              <w:rPr>
                <w:rFonts w:ascii="Times New Roman" w:hAnsi="Times New Roman" w:cs="Times New Roman"/>
                <w:noProof/>
                <w:webHidden/>
              </w:rPr>
              <w:t>10</w:t>
            </w:r>
            <w:r w:rsidR="00C507D2" w:rsidRPr="00C507D2">
              <w:rPr>
                <w:rFonts w:ascii="Times New Roman" w:hAnsi="Times New Roman" w:cs="Times New Roman"/>
                <w:noProof/>
                <w:webHidden/>
              </w:rPr>
              <w:fldChar w:fldCharType="end"/>
            </w:r>
          </w:hyperlink>
        </w:p>
        <w:p w14:paraId="76B2F083" w14:textId="77777777" w:rsidR="00C507D2" w:rsidRPr="00C507D2" w:rsidRDefault="00386BB0">
          <w:pPr>
            <w:pStyle w:val="TOC1"/>
            <w:rPr>
              <w:rFonts w:ascii="Times New Roman" w:eastAsiaTheme="minorEastAsia" w:hAnsi="Times New Roman" w:cs="Times New Roman"/>
              <w:b w:val="0"/>
              <w:bCs w:val="0"/>
              <w:noProof/>
              <w:sz w:val="22"/>
              <w:szCs w:val="22"/>
              <w:lang w:eastAsia="bg-BG"/>
            </w:rPr>
          </w:pPr>
          <w:hyperlink w:anchor="_Toc534292198" w:history="1">
            <w:r w:rsidR="00C507D2" w:rsidRPr="00C507D2">
              <w:rPr>
                <w:rStyle w:val="Hyperlink"/>
                <w:rFonts w:ascii="Times New Roman" w:hAnsi="Times New Roman" w:cs="Times New Roman"/>
                <w:noProof/>
              </w:rPr>
              <w:t>2. Наименование на приоритетната ос:</w:t>
            </w:r>
            <w:r w:rsidR="00C507D2" w:rsidRPr="00C507D2">
              <w:rPr>
                <w:rFonts w:ascii="Times New Roman" w:hAnsi="Times New Roman" w:cs="Times New Roman"/>
                <w:noProof/>
                <w:webHidden/>
              </w:rPr>
              <w:tab/>
            </w:r>
            <w:r w:rsidR="00C507D2" w:rsidRPr="00C507D2">
              <w:rPr>
                <w:rFonts w:ascii="Times New Roman" w:hAnsi="Times New Roman" w:cs="Times New Roman"/>
                <w:noProof/>
                <w:webHidden/>
              </w:rPr>
              <w:fldChar w:fldCharType="begin"/>
            </w:r>
            <w:r w:rsidR="00C507D2" w:rsidRPr="00C507D2">
              <w:rPr>
                <w:rFonts w:ascii="Times New Roman" w:hAnsi="Times New Roman" w:cs="Times New Roman"/>
                <w:noProof/>
                <w:webHidden/>
              </w:rPr>
              <w:instrText xml:space="preserve"> PAGEREF _Toc534292198 \h </w:instrText>
            </w:r>
            <w:r w:rsidR="00C507D2" w:rsidRPr="00C507D2">
              <w:rPr>
                <w:rFonts w:ascii="Times New Roman" w:hAnsi="Times New Roman" w:cs="Times New Roman"/>
                <w:noProof/>
                <w:webHidden/>
              </w:rPr>
            </w:r>
            <w:r w:rsidR="00C507D2" w:rsidRPr="00C507D2">
              <w:rPr>
                <w:rFonts w:ascii="Times New Roman" w:hAnsi="Times New Roman" w:cs="Times New Roman"/>
                <w:noProof/>
                <w:webHidden/>
              </w:rPr>
              <w:fldChar w:fldCharType="separate"/>
            </w:r>
            <w:r w:rsidR="00C507D2" w:rsidRPr="00C507D2">
              <w:rPr>
                <w:rFonts w:ascii="Times New Roman" w:hAnsi="Times New Roman" w:cs="Times New Roman"/>
                <w:noProof/>
                <w:webHidden/>
              </w:rPr>
              <w:t>10</w:t>
            </w:r>
            <w:r w:rsidR="00C507D2" w:rsidRPr="00C507D2">
              <w:rPr>
                <w:rFonts w:ascii="Times New Roman" w:hAnsi="Times New Roman" w:cs="Times New Roman"/>
                <w:noProof/>
                <w:webHidden/>
              </w:rPr>
              <w:fldChar w:fldCharType="end"/>
            </w:r>
          </w:hyperlink>
        </w:p>
        <w:p w14:paraId="49C1BAB7" w14:textId="77777777" w:rsidR="00C507D2" w:rsidRPr="00C507D2" w:rsidRDefault="00386BB0">
          <w:pPr>
            <w:pStyle w:val="TOC1"/>
            <w:rPr>
              <w:rFonts w:ascii="Times New Roman" w:eastAsiaTheme="minorEastAsia" w:hAnsi="Times New Roman" w:cs="Times New Roman"/>
              <w:b w:val="0"/>
              <w:bCs w:val="0"/>
              <w:noProof/>
              <w:sz w:val="22"/>
              <w:szCs w:val="22"/>
              <w:lang w:eastAsia="bg-BG"/>
            </w:rPr>
          </w:pPr>
          <w:hyperlink w:anchor="_Toc534292199" w:history="1">
            <w:r w:rsidR="00C507D2" w:rsidRPr="00C507D2">
              <w:rPr>
                <w:rStyle w:val="Hyperlink"/>
                <w:rFonts w:ascii="Times New Roman" w:hAnsi="Times New Roman" w:cs="Times New Roman"/>
                <w:noProof/>
              </w:rPr>
              <w:t>3. Наименование на процедурата:</w:t>
            </w:r>
            <w:r w:rsidR="00C507D2" w:rsidRPr="00C507D2">
              <w:rPr>
                <w:rFonts w:ascii="Times New Roman" w:hAnsi="Times New Roman" w:cs="Times New Roman"/>
                <w:noProof/>
                <w:webHidden/>
              </w:rPr>
              <w:tab/>
            </w:r>
            <w:r w:rsidR="00C507D2" w:rsidRPr="00C507D2">
              <w:rPr>
                <w:rFonts w:ascii="Times New Roman" w:hAnsi="Times New Roman" w:cs="Times New Roman"/>
                <w:noProof/>
                <w:webHidden/>
              </w:rPr>
              <w:fldChar w:fldCharType="begin"/>
            </w:r>
            <w:r w:rsidR="00C507D2" w:rsidRPr="00C507D2">
              <w:rPr>
                <w:rFonts w:ascii="Times New Roman" w:hAnsi="Times New Roman" w:cs="Times New Roman"/>
                <w:noProof/>
                <w:webHidden/>
              </w:rPr>
              <w:instrText xml:space="preserve"> PAGEREF _Toc534292199 \h </w:instrText>
            </w:r>
            <w:r w:rsidR="00C507D2" w:rsidRPr="00C507D2">
              <w:rPr>
                <w:rFonts w:ascii="Times New Roman" w:hAnsi="Times New Roman" w:cs="Times New Roman"/>
                <w:noProof/>
                <w:webHidden/>
              </w:rPr>
            </w:r>
            <w:r w:rsidR="00C507D2" w:rsidRPr="00C507D2">
              <w:rPr>
                <w:rFonts w:ascii="Times New Roman" w:hAnsi="Times New Roman" w:cs="Times New Roman"/>
                <w:noProof/>
                <w:webHidden/>
              </w:rPr>
              <w:fldChar w:fldCharType="separate"/>
            </w:r>
            <w:r w:rsidR="00C507D2" w:rsidRPr="00C507D2">
              <w:rPr>
                <w:rFonts w:ascii="Times New Roman" w:hAnsi="Times New Roman" w:cs="Times New Roman"/>
                <w:noProof/>
                <w:webHidden/>
              </w:rPr>
              <w:t>10</w:t>
            </w:r>
            <w:r w:rsidR="00C507D2" w:rsidRPr="00C507D2">
              <w:rPr>
                <w:rFonts w:ascii="Times New Roman" w:hAnsi="Times New Roman" w:cs="Times New Roman"/>
                <w:noProof/>
                <w:webHidden/>
              </w:rPr>
              <w:fldChar w:fldCharType="end"/>
            </w:r>
          </w:hyperlink>
        </w:p>
        <w:p w14:paraId="2824D254" w14:textId="77777777" w:rsidR="00C507D2" w:rsidRPr="00C507D2" w:rsidRDefault="00386BB0">
          <w:pPr>
            <w:pStyle w:val="TOC1"/>
            <w:rPr>
              <w:rFonts w:ascii="Times New Roman" w:eastAsiaTheme="minorEastAsia" w:hAnsi="Times New Roman" w:cs="Times New Roman"/>
              <w:b w:val="0"/>
              <w:bCs w:val="0"/>
              <w:noProof/>
              <w:sz w:val="22"/>
              <w:szCs w:val="22"/>
              <w:lang w:eastAsia="bg-BG"/>
            </w:rPr>
          </w:pPr>
          <w:hyperlink w:anchor="_Toc534292200" w:history="1">
            <w:r w:rsidR="00C507D2" w:rsidRPr="00C507D2">
              <w:rPr>
                <w:rStyle w:val="Hyperlink"/>
                <w:rFonts w:ascii="Times New Roman" w:hAnsi="Times New Roman" w:cs="Times New Roman"/>
                <w:noProof/>
              </w:rPr>
              <w:t>4. Измерения по кодове:</w:t>
            </w:r>
            <w:r w:rsidR="00C507D2" w:rsidRPr="00C507D2">
              <w:rPr>
                <w:rFonts w:ascii="Times New Roman" w:hAnsi="Times New Roman" w:cs="Times New Roman"/>
                <w:noProof/>
                <w:webHidden/>
              </w:rPr>
              <w:tab/>
            </w:r>
            <w:r w:rsidR="00C507D2" w:rsidRPr="00C507D2">
              <w:rPr>
                <w:rFonts w:ascii="Times New Roman" w:hAnsi="Times New Roman" w:cs="Times New Roman"/>
                <w:noProof/>
                <w:webHidden/>
              </w:rPr>
              <w:fldChar w:fldCharType="begin"/>
            </w:r>
            <w:r w:rsidR="00C507D2" w:rsidRPr="00C507D2">
              <w:rPr>
                <w:rFonts w:ascii="Times New Roman" w:hAnsi="Times New Roman" w:cs="Times New Roman"/>
                <w:noProof/>
                <w:webHidden/>
              </w:rPr>
              <w:instrText xml:space="preserve"> PAGEREF _Toc534292200 \h </w:instrText>
            </w:r>
            <w:r w:rsidR="00C507D2" w:rsidRPr="00C507D2">
              <w:rPr>
                <w:rFonts w:ascii="Times New Roman" w:hAnsi="Times New Roman" w:cs="Times New Roman"/>
                <w:noProof/>
                <w:webHidden/>
              </w:rPr>
            </w:r>
            <w:r w:rsidR="00C507D2" w:rsidRPr="00C507D2">
              <w:rPr>
                <w:rFonts w:ascii="Times New Roman" w:hAnsi="Times New Roman" w:cs="Times New Roman"/>
                <w:noProof/>
                <w:webHidden/>
              </w:rPr>
              <w:fldChar w:fldCharType="separate"/>
            </w:r>
            <w:r w:rsidR="00C507D2" w:rsidRPr="00C507D2">
              <w:rPr>
                <w:rFonts w:ascii="Times New Roman" w:hAnsi="Times New Roman" w:cs="Times New Roman"/>
                <w:noProof/>
                <w:webHidden/>
              </w:rPr>
              <w:t>10</w:t>
            </w:r>
            <w:r w:rsidR="00C507D2" w:rsidRPr="00C507D2">
              <w:rPr>
                <w:rFonts w:ascii="Times New Roman" w:hAnsi="Times New Roman" w:cs="Times New Roman"/>
                <w:noProof/>
                <w:webHidden/>
              </w:rPr>
              <w:fldChar w:fldCharType="end"/>
            </w:r>
          </w:hyperlink>
        </w:p>
        <w:p w14:paraId="27A59DCF" w14:textId="77777777" w:rsidR="00C507D2" w:rsidRPr="00C507D2" w:rsidRDefault="00386BB0">
          <w:pPr>
            <w:pStyle w:val="TOC1"/>
            <w:rPr>
              <w:rFonts w:ascii="Times New Roman" w:eastAsiaTheme="minorEastAsia" w:hAnsi="Times New Roman" w:cs="Times New Roman"/>
              <w:b w:val="0"/>
              <w:bCs w:val="0"/>
              <w:noProof/>
              <w:sz w:val="22"/>
              <w:szCs w:val="22"/>
              <w:lang w:eastAsia="bg-BG"/>
            </w:rPr>
          </w:pPr>
          <w:hyperlink w:anchor="_Toc534292201" w:history="1">
            <w:r w:rsidR="00C507D2" w:rsidRPr="00C507D2">
              <w:rPr>
                <w:rStyle w:val="Hyperlink"/>
                <w:rFonts w:ascii="Times New Roman" w:hAnsi="Times New Roman" w:cs="Times New Roman"/>
                <w:noProof/>
              </w:rPr>
              <w:t>5. Териториален обхват:</w:t>
            </w:r>
            <w:r w:rsidR="00C507D2" w:rsidRPr="00C507D2">
              <w:rPr>
                <w:rFonts w:ascii="Times New Roman" w:hAnsi="Times New Roman" w:cs="Times New Roman"/>
                <w:noProof/>
                <w:webHidden/>
              </w:rPr>
              <w:tab/>
            </w:r>
            <w:r w:rsidR="00C507D2" w:rsidRPr="00C507D2">
              <w:rPr>
                <w:rFonts w:ascii="Times New Roman" w:hAnsi="Times New Roman" w:cs="Times New Roman"/>
                <w:noProof/>
                <w:webHidden/>
              </w:rPr>
              <w:fldChar w:fldCharType="begin"/>
            </w:r>
            <w:r w:rsidR="00C507D2" w:rsidRPr="00C507D2">
              <w:rPr>
                <w:rFonts w:ascii="Times New Roman" w:hAnsi="Times New Roman" w:cs="Times New Roman"/>
                <w:noProof/>
                <w:webHidden/>
              </w:rPr>
              <w:instrText xml:space="preserve"> PAGEREF _Toc534292201 \h </w:instrText>
            </w:r>
            <w:r w:rsidR="00C507D2" w:rsidRPr="00C507D2">
              <w:rPr>
                <w:rFonts w:ascii="Times New Roman" w:hAnsi="Times New Roman" w:cs="Times New Roman"/>
                <w:noProof/>
                <w:webHidden/>
              </w:rPr>
            </w:r>
            <w:r w:rsidR="00C507D2" w:rsidRPr="00C507D2">
              <w:rPr>
                <w:rFonts w:ascii="Times New Roman" w:hAnsi="Times New Roman" w:cs="Times New Roman"/>
                <w:noProof/>
                <w:webHidden/>
              </w:rPr>
              <w:fldChar w:fldCharType="separate"/>
            </w:r>
            <w:r w:rsidR="00C507D2" w:rsidRPr="00C507D2">
              <w:rPr>
                <w:rFonts w:ascii="Times New Roman" w:hAnsi="Times New Roman" w:cs="Times New Roman"/>
                <w:noProof/>
                <w:webHidden/>
              </w:rPr>
              <w:t>10</w:t>
            </w:r>
            <w:r w:rsidR="00C507D2" w:rsidRPr="00C507D2">
              <w:rPr>
                <w:rFonts w:ascii="Times New Roman" w:hAnsi="Times New Roman" w:cs="Times New Roman"/>
                <w:noProof/>
                <w:webHidden/>
              </w:rPr>
              <w:fldChar w:fldCharType="end"/>
            </w:r>
          </w:hyperlink>
        </w:p>
        <w:p w14:paraId="17A3D802" w14:textId="77777777" w:rsidR="00C507D2" w:rsidRPr="00C507D2" w:rsidRDefault="00386BB0">
          <w:pPr>
            <w:pStyle w:val="TOC1"/>
            <w:rPr>
              <w:rFonts w:ascii="Times New Roman" w:eastAsiaTheme="minorEastAsia" w:hAnsi="Times New Roman" w:cs="Times New Roman"/>
              <w:b w:val="0"/>
              <w:bCs w:val="0"/>
              <w:noProof/>
              <w:sz w:val="22"/>
              <w:szCs w:val="22"/>
              <w:lang w:eastAsia="bg-BG"/>
            </w:rPr>
          </w:pPr>
          <w:hyperlink w:anchor="_Toc534292202" w:history="1">
            <w:r w:rsidR="00C507D2" w:rsidRPr="00C507D2">
              <w:rPr>
                <w:rStyle w:val="Hyperlink"/>
                <w:rFonts w:ascii="Times New Roman" w:hAnsi="Times New Roman" w:cs="Times New Roman"/>
                <w:noProof/>
              </w:rPr>
              <w:t>6. Цели на предоставяната безвъзмездна финансова помощ по процедурата и очаквани резултати:</w:t>
            </w:r>
            <w:r w:rsidR="00C507D2" w:rsidRPr="00C507D2">
              <w:rPr>
                <w:rFonts w:ascii="Times New Roman" w:hAnsi="Times New Roman" w:cs="Times New Roman"/>
                <w:noProof/>
                <w:webHidden/>
              </w:rPr>
              <w:tab/>
            </w:r>
            <w:r w:rsidR="00C507D2" w:rsidRPr="00C507D2">
              <w:rPr>
                <w:rFonts w:ascii="Times New Roman" w:hAnsi="Times New Roman" w:cs="Times New Roman"/>
                <w:noProof/>
                <w:webHidden/>
              </w:rPr>
              <w:fldChar w:fldCharType="begin"/>
            </w:r>
            <w:r w:rsidR="00C507D2" w:rsidRPr="00C507D2">
              <w:rPr>
                <w:rFonts w:ascii="Times New Roman" w:hAnsi="Times New Roman" w:cs="Times New Roman"/>
                <w:noProof/>
                <w:webHidden/>
              </w:rPr>
              <w:instrText xml:space="preserve"> PAGEREF _Toc534292202 \h </w:instrText>
            </w:r>
            <w:r w:rsidR="00C507D2" w:rsidRPr="00C507D2">
              <w:rPr>
                <w:rFonts w:ascii="Times New Roman" w:hAnsi="Times New Roman" w:cs="Times New Roman"/>
                <w:noProof/>
                <w:webHidden/>
              </w:rPr>
            </w:r>
            <w:r w:rsidR="00C507D2" w:rsidRPr="00C507D2">
              <w:rPr>
                <w:rFonts w:ascii="Times New Roman" w:hAnsi="Times New Roman" w:cs="Times New Roman"/>
                <w:noProof/>
                <w:webHidden/>
              </w:rPr>
              <w:fldChar w:fldCharType="separate"/>
            </w:r>
            <w:r w:rsidR="00C507D2" w:rsidRPr="00C507D2">
              <w:rPr>
                <w:rFonts w:ascii="Times New Roman" w:hAnsi="Times New Roman" w:cs="Times New Roman"/>
                <w:noProof/>
                <w:webHidden/>
              </w:rPr>
              <w:t>10</w:t>
            </w:r>
            <w:r w:rsidR="00C507D2" w:rsidRPr="00C507D2">
              <w:rPr>
                <w:rFonts w:ascii="Times New Roman" w:hAnsi="Times New Roman" w:cs="Times New Roman"/>
                <w:noProof/>
                <w:webHidden/>
              </w:rPr>
              <w:fldChar w:fldCharType="end"/>
            </w:r>
          </w:hyperlink>
        </w:p>
        <w:p w14:paraId="03A274FC" w14:textId="77777777" w:rsidR="00C507D2" w:rsidRPr="00C507D2" w:rsidRDefault="00386BB0">
          <w:pPr>
            <w:pStyle w:val="TOC1"/>
            <w:rPr>
              <w:rFonts w:ascii="Times New Roman" w:eastAsiaTheme="minorEastAsia" w:hAnsi="Times New Roman" w:cs="Times New Roman"/>
              <w:b w:val="0"/>
              <w:bCs w:val="0"/>
              <w:noProof/>
              <w:sz w:val="22"/>
              <w:szCs w:val="22"/>
              <w:lang w:eastAsia="bg-BG"/>
            </w:rPr>
          </w:pPr>
          <w:hyperlink w:anchor="_Toc534292203" w:history="1">
            <w:r w:rsidR="00C507D2" w:rsidRPr="00C507D2">
              <w:rPr>
                <w:rStyle w:val="Hyperlink"/>
                <w:rFonts w:ascii="Times New Roman" w:hAnsi="Times New Roman" w:cs="Times New Roman"/>
                <w:noProof/>
              </w:rPr>
              <w:t>7. Индикатори:</w:t>
            </w:r>
            <w:r w:rsidR="00C507D2" w:rsidRPr="00C507D2">
              <w:rPr>
                <w:rFonts w:ascii="Times New Roman" w:hAnsi="Times New Roman" w:cs="Times New Roman"/>
                <w:noProof/>
                <w:webHidden/>
              </w:rPr>
              <w:tab/>
            </w:r>
            <w:r w:rsidR="00C507D2" w:rsidRPr="00C507D2">
              <w:rPr>
                <w:rFonts w:ascii="Times New Roman" w:hAnsi="Times New Roman" w:cs="Times New Roman"/>
                <w:noProof/>
                <w:webHidden/>
              </w:rPr>
              <w:fldChar w:fldCharType="begin"/>
            </w:r>
            <w:r w:rsidR="00C507D2" w:rsidRPr="00C507D2">
              <w:rPr>
                <w:rFonts w:ascii="Times New Roman" w:hAnsi="Times New Roman" w:cs="Times New Roman"/>
                <w:noProof/>
                <w:webHidden/>
              </w:rPr>
              <w:instrText xml:space="preserve"> PAGEREF _Toc534292203 \h </w:instrText>
            </w:r>
            <w:r w:rsidR="00C507D2" w:rsidRPr="00C507D2">
              <w:rPr>
                <w:rFonts w:ascii="Times New Roman" w:hAnsi="Times New Roman" w:cs="Times New Roman"/>
                <w:noProof/>
                <w:webHidden/>
              </w:rPr>
            </w:r>
            <w:r w:rsidR="00C507D2" w:rsidRPr="00C507D2">
              <w:rPr>
                <w:rFonts w:ascii="Times New Roman" w:hAnsi="Times New Roman" w:cs="Times New Roman"/>
                <w:noProof/>
                <w:webHidden/>
              </w:rPr>
              <w:fldChar w:fldCharType="separate"/>
            </w:r>
            <w:r w:rsidR="00C507D2" w:rsidRPr="00C507D2">
              <w:rPr>
                <w:rFonts w:ascii="Times New Roman" w:hAnsi="Times New Roman" w:cs="Times New Roman"/>
                <w:noProof/>
                <w:webHidden/>
              </w:rPr>
              <w:t>11</w:t>
            </w:r>
            <w:r w:rsidR="00C507D2" w:rsidRPr="00C507D2">
              <w:rPr>
                <w:rFonts w:ascii="Times New Roman" w:hAnsi="Times New Roman" w:cs="Times New Roman"/>
                <w:noProof/>
                <w:webHidden/>
              </w:rPr>
              <w:fldChar w:fldCharType="end"/>
            </w:r>
          </w:hyperlink>
        </w:p>
        <w:p w14:paraId="0A6E9A21" w14:textId="77777777" w:rsidR="00C507D2" w:rsidRPr="00C507D2" w:rsidRDefault="00386BB0">
          <w:pPr>
            <w:pStyle w:val="TOC1"/>
            <w:rPr>
              <w:rFonts w:ascii="Times New Roman" w:eastAsiaTheme="minorEastAsia" w:hAnsi="Times New Roman" w:cs="Times New Roman"/>
              <w:b w:val="0"/>
              <w:bCs w:val="0"/>
              <w:noProof/>
              <w:sz w:val="22"/>
              <w:szCs w:val="22"/>
              <w:lang w:eastAsia="bg-BG"/>
            </w:rPr>
          </w:pPr>
          <w:hyperlink w:anchor="_Toc534292204" w:history="1">
            <w:r w:rsidR="00C507D2" w:rsidRPr="00C507D2">
              <w:rPr>
                <w:rStyle w:val="Hyperlink"/>
                <w:rFonts w:ascii="Times New Roman" w:hAnsi="Times New Roman" w:cs="Times New Roman"/>
                <w:noProof/>
              </w:rPr>
              <w:t>8. Общ размер на безвъзмездната финансова помощ по процедурата:</w:t>
            </w:r>
            <w:r w:rsidR="00C507D2" w:rsidRPr="00C507D2">
              <w:rPr>
                <w:rFonts w:ascii="Times New Roman" w:hAnsi="Times New Roman" w:cs="Times New Roman"/>
                <w:noProof/>
                <w:webHidden/>
              </w:rPr>
              <w:tab/>
            </w:r>
            <w:r w:rsidR="00C507D2" w:rsidRPr="00C507D2">
              <w:rPr>
                <w:rFonts w:ascii="Times New Roman" w:hAnsi="Times New Roman" w:cs="Times New Roman"/>
                <w:noProof/>
                <w:webHidden/>
              </w:rPr>
              <w:fldChar w:fldCharType="begin"/>
            </w:r>
            <w:r w:rsidR="00C507D2" w:rsidRPr="00C507D2">
              <w:rPr>
                <w:rFonts w:ascii="Times New Roman" w:hAnsi="Times New Roman" w:cs="Times New Roman"/>
                <w:noProof/>
                <w:webHidden/>
              </w:rPr>
              <w:instrText xml:space="preserve"> PAGEREF _Toc534292204 \h </w:instrText>
            </w:r>
            <w:r w:rsidR="00C507D2" w:rsidRPr="00C507D2">
              <w:rPr>
                <w:rFonts w:ascii="Times New Roman" w:hAnsi="Times New Roman" w:cs="Times New Roman"/>
                <w:noProof/>
                <w:webHidden/>
              </w:rPr>
            </w:r>
            <w:r w:rsidR="00C507D2" w:rsidRPr="00C507D2">
              <w:rPr>
                <w:rFonts w:ascii="Times New Roman" w:hAnsi="Times New Roman" w:cs="Times New Roman"/>
                <w:noProof/>
                <w:webHidden/>
              </w:rPr>
              <w:fldChar w:fldCharType="separate"/>
            </w:r>
            <w:r w:rsidR="00C507D2" w:rsidRPr="00C507D2">
              <w:rPr>
                <w:rFonts w:ascii="Times New Roman" w:hAnsi="Times New Roman" w:cs="Times New Roman"/>
                <w:noProof/>
                <w:webHidden/>
              </w:rPr>
              <w:t>12</w:t>
            </w:r>
            <w:r w:rsidR="00C507D2" w:rsidRPr="00C507D2">
              <w:rPr>
                <w:rFonts w:ascii="Times New Roman" w:hAnsi="Times New Roman" w:cs="Times New Roman"/>
                <w:noProof/>
                <w:webHidden/>
              </w:rPr>
              <w:fldChar w:fldCharType="end"/>
            </w:r>
          </w:hyperlink>
        </w:p>
        <w:p w14:paraId="501B8867" w14:textId="77777777" w:rsidR="00C507D2" w:rsidRPr="00C507D2" w:rsidRDefault="00386BB0">
          <w:pPr>
            <w:pStyle w:val="TOC1"/>
            <w:rPr>
              <w:rFonts w:ascii="Times New Roman" w:eastAsiaTheme="minorEastAsia" w:hAnsi="Times New Roman" w:cs="Times New Roman"/>
              <w:b w:val="0"/>
              <w:bCs w:val="0"/>
              <w:noProof/>
              <w:sz w:val="22"/>
              <w:szCs w:val="22"/>
              <w:lang w:eastAsia="bg-BG"/>
            </w:rPr>
          </w:pPr>
          <w:hyperlink w:anchor="_Toc534292205" w:history="1">
            <w:r w:rsidR="00C507D2" w:rsidRPr="00C507D2">
              <w:rPr>
                <w:rStyle w:val="Hyperlink"/>
                <w:rFonts w:ascii="Times New Roman" w:hAnsi="Times New Roman" w:cs="Times New Roman"/>
                <w:noProof/>
              </w:rPr>
              <w:t>9. Минимален и максимален размер на безвъзмездната финансова помощ за конкретен проект:</w:t>
            </w:r>
            <w:r w:rsidR="00C507D2" w:rsidRPr="00C507D2">
              <w:rPr>
                <w:rFonts w:ascii="Times New Roman" w:hAnsi="Times New Roman" w:cs="Times New Roman"/>
                <w:noProof/>
                <w:webHidden/>
              </w:rPr>
              <w:tab/>
            </w:r>
            <w:r w:rsidR="00C507D2" w:rsidRPr="00C507D2">
              <w:rPr>
                <w:rFonts w:ascii="Times New Roman" w:hAnsi="Times New Roman" w:cs="Times New Roman"/>
                <w:noProof/>
                <w:webHidden/>
              </w:rPr>
              <w:fldChar w:fldCharType="begin"/>
            </w:r>
            <w:r w:rsidR="00C507D2" w:rsidRPr="00C507D2">
              <w:rPr>
                <w:rFonts w:ascii="Times New Roman" w:hAnsi="Times New Roman" w:cs="Times New Roman"/>
                <w:noProof/>
                <w:webHidden/>
              </w:rPr>
              <w:instrText xml:space="preserve"> PAGEREF _Toc534292205 \h </w:instrText>
            </w:r>
            <w:r w:rsidR="00C507D2" w:rsidRPr="00C507D2">
              <w:rPr>
                <w:rFonts w:ascii="Times New Roman" w:hAnsi="Times New Roman" w:cs="Times New Roman"/>
                <w:noProof/>
                <w:webHidden/>
              </w:rPr>
            </w:r>
            <w:r w:rsidR="00C507D2" w:rsidRPr="00C507D2">
              <w:rPr>
                <w:rFonts w:ascii="Times New Roman" w:hAnsi="Times New Roman" w:cs="Times New Roman"/>
                <w:noProof/>
                <w:webHidden/>
              </w:rPr>
              <w:fldChar w:fldCharType="separate"/>
            </w:r>
            <w:r w:rsidR="00C507D2" w:rsidRPr="00C507D2">
              <w:rPr>
                <w:rFonts w:ascii="Times New Roman" w:hAnsi="Times New Roman" w:cs="Times New Roman"/>
                <w:noProof/>
                <w:webHidden/>
              </w:rPr>
              <w:t>12</w:t>
            </w:r>
            <w:r w:rsidR="00C507D2" w:rsidRPr="00C507D2">
              <w:rPr>
                <w:rFonts w:ascii="Times New Roman" w:hAnsi="Times New Roman" w:cs="Times New Roman"/>
                <w:noProof/>
                <w:webHidden/>
              </w:rPr>
              <w:fldChar w:fldCharType="end"/>
            </w:r>
          </w:hyperlink>
        </w:p>
        <w:p w14:paraId="4B4CBBE5" w14:textId="77777777" w:rsidR="00C507D2" w:rsidRPr="00C507D2" w:rsidRDefault="00386BB0">
          <w:pPr>
            <w:pStyle w:val="TOC1"/>
            <w:rPr>
              <w:rFonts w:ascii="Times New Roman" w:eastAsiaTheme="minorEastAsia" w:hAnsi="Times New Roman" w:cs="Times New Roman"/>
              <w:b w:val="0"/>
              <w:bCs w:val="0"/>
              <w:noProof/>
              <w:sz w:val="22"/>
              <w:szCs w:val="22"/>
              <w:lang w:eastAsia="bg-BG"/>
            </w:rPr>
          </w:pPr>
          <w:hyperlink w:anchor="_Toc534292206" w:history="1">
            <w:r w:rsidR="00C507D2" w:rsidRPr="00C507D2">
              <w:rPr>
                <w:rStyle w:val="Hyperlink"/>
                <w:rFonts w:ascii="Times New Roman" w:hAnsi="Times New Roman" w:cs="Times New Roman"/>
                <w:noProof/>
              </w:rPr>
              <w:t>10. Процент на съфинансиране:</w:t>
            </w:r>
            <w:r w:rsidR="00C507D2" w:rsidRPr="00C507D2">
              <w:rPr>
                <w:rFonts w:ascii="Times New Roman" w:hAnsi="Times New Roman" w:cs="Times New Roman"/>
                <w:noProof/>
                <w:webHidden/>
              </w:rPr>
              <w:tab/>
            </w:r>
            <w:r w:rsidR="00C507D2" w:rsidRPr="00C507D2">
              <w:rPr>
                <w:rFonts w:ascii="Times New Roman" w:hAnsi="Times New Roman" w:cs="Times New Roman"/>
                <w:noProof/>
                <w:webHidden/>
              </w:rPr>
              <w:fldChar w:fldCharType="begin"/>
            </w:r>
            <w:r w:rsidR="00C507D2" w:rsidRPr="00C507D2">
              <w:rPr>
                <w:rFonts w:ascii="Times New Roman" w:hAnsi="Times New Roman" w:cs="Times New Roman"/>
                <w:noProof/>
                <w:webHidden/>
              </w:rPr>
              <w:instrText xml:space="preserve"> PAGEREF _Toc534292206 \h </w:instrText>
            </w:r>
            <w:r w:rsidR="00C507D2" w:rsidRPr="00C507D2">
              <w:rPr>
                <w:rFonts w:ascii="Times New Roman" w:hAnsi="Times New Roman" w:cs="Times New Roman"/>
                <w:noProof/>
                <w:webHidden/>
              </w:rPr>
            </w:r>
            <w:r w:rsidR="00C507D2" w:rsidRPr="00C507D2">
              <w:rPr>
                <w:rFonts w:ascii="Times New Roman" w:hAnsi="Times New Roman" w:cs="Times New Roman"/>
                <w:noProof/>
                <w:webHidden/>
              </w:rPr>
              <w:fldChar w:fldCharType="separate"/>
            </w:r>
            <w:r w:rsidR="00C507D2" w:rsidRPr="00C507D2">
              <w:rPr>
                <w:rFonts w:ascii="Times New Roman" w:hAnsi="Times New Roman" w:cs="Times New Roman"/>
                <w:noProof/>
                <w:webHidden/>
              </w:rPr>
              <w:t>13</w:t>
            </w:r>
            <w:r w:rsidR="00C507D2" w:rsidRPr="00C507D2">
              <w:rPr>
                <w:rFonts w:ascii="Times New Roman" w:hAnsi="Times New Roman" w:cs="Times New Roman"/>
                <w:noProof/>
                <w:webHidden/>
              </w:rPr>
              <w:fldChar w:fldCharType="end"/>
            </w:r>
          </w:hyperlink>
        </w:p>
        <w:p w14:paraId="59D13048" w14:textId="77777777" w:rsidR="00C507D2" w:rsidRPr="00C507D2" w:rsidRDefault="00386BB0">
          <w:pPr>
            <w:pStyle w:val="TOC1"/>
            <w:rPr>
              <w:rFonts w:ascii="Times New Roman" w:eastAsiaTheme="minorEastAsia" w:hAnsi="Times New Roman" w:cs="Times New Roman"/>
              <w:b w:val="0"/>
              <w:bCs w:val="0"/>
              <w:noProof/>
              <w:sz w:val="22"/>
              <w:szCs w:val="22"/>
              <w:lang w:eastAsia="bg-BG"/>
            </w:rPr>
          </w:pPr>
          <w:hyperlink w:anchor="_Toc534292207" w:history="1">
            <w:r w:rsidR="00C507D2" w:rsidRPr="00C507D2">
              <w:rPr>
                <w:rStyle w:val="Hyperlink"/>
                <w:rFonts w:ascii="Times New Roman" w:hAnsi="Times New Roman" w:cs="Times New Roman"/>
                <w:noProof/>
              </w:rPr>
              <w:t>11. Допустими кандидати:</w:t>
            </w:r>
            <w:r w:rsidR="00C507D2" w:rsidRPr="00C507D2">
              <w:rPr>
                <w:rFonts w:ascii="Times New Roman" w:hAnsi="Times New Roman" w:cs="Times New Roman"/>
                <w:noProof/>
                <w:webHidden/>
              </w:rPr>
              <w:tab/>
            </w:r>
            <w:r w:rsidR="00C507D2" w:rsidRPr="00C507D2">
              <w:rPr>
                <w:rFonts w:ascii="Times New Roman" w:hAnsi="Times New Roman" w:cs="Times New Roman"/>
                <w:noProof/>
                <w:webHidden/>
              </w:rPr>
              <w:fldChar w:fldCharType="begin"/>
            </w:r>
            <w:r w:rsidR="00C507D2" w:rsidRPr="00C507D2">
              <w:rPr>
                <w:rFonts w:ascii="Times New Roman" w:hAnsi="Times New Roman" w:cs="Times New Roman"/>
                <w:noProof/>
                <w:webHidden/>
              </w:rPr>
              <w:instrText xml:space="preserve"> PAGEREF _Toc534292207 \h </w:instrText>
            </w:r>
            <w:r w:rsidR="00C507D2" w:rsidRPr="00C507D2">
              <w:rPr>
                <w:rFonts w:ascii="Times New Roman" w:hAnsi="Times New Roman" w:cs="Times New Roman"/>
                <w:noProof/>
                <w:webHidden/>
              </w:rPr>
            </w:r>
            <w:r w:rsidR="00C507D2" w:rsidRPr="00C507D2">
              <w:rPr>
                <w:rFonts w:ascii="Times New Roman" w:hAnsi="Times New Roman" w:cs="Times New Roman"/>
                <w:noProof/>
                <w:webHidden/>
              </w:rPr>
              <w:fldChar w:fldCharType="separate"/>
            </w:r>
            <w:r w:rsidR="00C507D2" w:rsidRPr="00C507D2">
              <w:rPr>
                <w:rFonts w:ascii="Times New Roman" w:hAnsi="Times New Roman" w:cs="Times New Roman"/>
                <w:noProof/>
                <w:webHidden/>
              </w:rPr>
              <w:t>13</w:t>
            </w:r>
            <w:r w:rsidR="00C507D2" w:rsidRPr="00C507D2">
              <w:rPr>
                <w:rFonts w:ascii="Times New Roman" w:hAnsi="Times New Roman" w:cs="Times New Roman"/>
                <w:noProof/>
                <w:webHidden/>
              </w:rPr>
              <w:fldChar w:fldCharType="end"/>
            </w:r>
          </w:hyperlink>
        </w:p>
        <w:p w14:paraId="4936302B" w14:textId="77777777" w:rsidR="00C507D2" w:rsidRPr="00C507D2" w:rsidRDefault="00386BB0">
          <w:pPr>
            <w:pStyle w:val="TOC2"/>
            <w:rPr>
              <w:rFonts w:ascii="Times New Roman" w:eastAsiaTheme="minorEastAsia" w:hAnsi="Times New Roman" w:cs="Times New Roman"/>
              <w:b w:val="0"/>
              <w:bCs w:val="0"/>
              <w:noProof/>
              <w:lang w:eastAsia="bg-BG"/>
            </w:rPr>
          </w:pPr>
          <w:hyperlink w:anchor="_Toc534292208" w:history="1">
            <w:r w:rsidR="00C507D2" w:rsidRPr="00C507D2">
              <w:rPr>
                <w:rStyle w:val="Hyperlink"/>
                <w:rFonts w:ascii="Times New Roman" w:hAnsi="Times New Roman" w:cs="Times New Roman"/>
                <w:noProof/>
              </w:rPr>
              <w:t>11.1. Критерии за допустимост на кандидатите:</w:t>
            </w:r>
            <w:r w:rsidR="00C507D2" w:rsidRPr="00C507D2">
              <w:rPr>
                <w:rFonts w:ascii="Times New Roman" w:hAnsi="Times New Roman" w:cs="Times New Roman"/>
                <w:noProof/>
                <w:webHidden/>
              </w:rPr>
              <w:tab/>
            </w:r>
            <w:r w:rsidR="00C507D2" w:rsidRPr="00C507D2">
              <w:rPr>
                <w:rFonts w:ascii="Times New Roman" w:hAnsi="Times New Roman" w:cs="Times New Roman"/>
                <w:noProof/>
                <w:webHidden/>
              </w:rPr>
              <w:fldChar w:fldCharType="begin"/>
            </w:r>
            <w:r w:rsidR="00C507D2" w:rsidRPr="00C507D2">
              <w:rPr>
                <w:rFonts w:ascii="Times New Roman" w:hAnsi="Times New Roman" w:cs="Times New Roman"/>
                <w:noProof/>
                <w:webHidden/>
              </w:rPr>
              <w:instrText xml:space="preserve"> PAGEREF _Toc534292208 \h </w:instrText>
            </w:r>
            <w:r w:rsidR="00C507D2" w:rsidRPr="00C507D2">
              <w:rPr>
                <w:rFonts w:ascii="Times New Roman" w:hAnsi="Times New Roman" w:cs="Times New Roman"/>
                <w:noProof/>
                <w:webHidden/>
              </w:rPr>
            </w:r>
            <w:r w:rsidR="00C507D2" w:rsidRPr="00C507D2">
              <w:rPr>
                <w:rFonts w:ascii="Times New Roman" w:hAnsi="Times New Roman" w:cs="Times New Roman"/>
                <w:noProof/>
                <w:webHidden/>
              </w:rPr>
              <w:fldChar w:fldCharType="separate"/>
            </w:r>
            <w:r w:rsidR="00C507D2" w:rsidRPr="00C507D2">
              <w:rPr>
                <w:rFonts w:ascii="Times New Roman" w:hAnsi="Times New Roman" w:cs="Times New Roman"/>
                <w:noProof/>
                <w:webHidden/>
              </w:rPr>
              <w:t>13</w:t>
            </w:r>
            <w:r w:rsidR="00C507D2" w:rsidRPr="00C507D2">
              <w:rPr>
                <w:rFonts w:ascii="Times New Roman" w:hAnsi="Times New Roman" w:cs="Times New Roman"/>
                <w:noProof/>
                <w:webHidden/>
              </w:rPr>
              <w:fldChar w:fldCharType="end"/>
            </w:r>
          </w:hyperlink>
        </w:p>
        <w:p w14:paraId="3EE2BEAF" w14:textId="77777777" w:rsidR="00C507D2" w:rsidRPr="00C507D2" w:rsidRDefault="00386BB0">
          <w:pPr>
            <w:pStyle w:val="TOC1"/>
            <w:rPr>
              <w:rFonts w:ascii="Times New Roman" w:eastAsiaTheme="minorEastAsia" w:hAnsi="Times New Roman" w:cs="Times New Roman"/>
              <w:b w:val="0"/>
              <w:bCs w:val="0"/>
              <w:noProof/>
              <w:sz w:val="22"/>
              <w:szCs w:val="22"/>
              <w:lang w:eastAsia="bg-BG"/>
            </w:rPr>
          </w:pPr>
          <w:hyperlink w:anchor="_Toc534292209" w:history="1">
            <w:r w:rsidR="00C507D2" w:rsidRPr="00C507D2">
              <w:rPr>
                <w:rStyle w:val="Hyperlink"/>
                <w:rFonts w:ascii="Times New Roman" w:hAnsi="Times New Roman" w:cs="Times New Roman"/>
                <w:noProof/>
              </w:rPr>
              <w:t>12. Допустими партньори</w:t>
            </w:r>
            <w:r w:rsidR="00C507D2" w:rsidRPr="00C507D2">
              <w:rPr>
                <w:rFonts w:ascii="Times New Roman" w:hAnsi="Times New Roman" w:cs="Times New Roman"/>
                <w:noProof/>
                <w:webHidden/>
              </w:rPr>
              <w:tab/>
            </w:r>
            <w:r w:rsidR="00C507D2" w:rsidRPr="00C507D2">
              <w:rPr>
                <w:rFonts w:ascii="Times New Roman" w:hAnsi="Times New Roman" w:cs="Times New Roman"/>
                <w:noProof/>
                <w:webHidden/>
              </w:rPr>
              <w:fldChar w:fldCharType="begin"/>
            </w:r>
            <w:r w:rsidR="00C507D2" w:rsidRPr="00C507D2">
              <w:rPr>
                <w:rFonts w:ascii="Times New Roman" w:hAnsi="Times New Roman" w:cs="Times New Roman"/>
                <w:noProof/>
                <w:webHidden/>
              </w:rPr>
              <w:instrText xml:space="preserve"> PAGEREF _Toc534292209 \h </w:instrText>
            </w:r>
            <w:r w:rsidR="00C507D2" w:rsidRPr="00C507D2">
              <w:rPr>
                <w:rFonts w:ascii="Times New Roman" w:hAnsi="Times New Roman" w:cs="Times New Roman"/>
                <w:noProof/>
                <w:webHidden/>
              </w:rPr>
            </w:r>
            <w:r w:rsidR="00C507D2" w:rsidRPr="00C507D2">
              <w:rPr>
                <w:rFonts w:ascii="Times New Roman" w:hAnsi="Times New Roman" w:cs="Times New Roman"/>
                <w:noProof/>
                <w:webHidden/>
              </w:rPr>
              <w:fldChar w:fldCharType="separate"/>
            </w:r>
            <w:r w:rsidR="00C507D2" w:rsidRPr="00C507D2">
              <w:rPr>
                <w:rFonts w:ascii="Times New Roman" w:hAnsi="Times New Roman" w:cs="Times New Roman"/>
                <w:noProof/>
                <w:webHidden/>
              </w:rPr>
              <w:t>16</w:t>
            </w:r>
            <w:r w:rsidR="00C507D2" w:rsidRPr="00C507D2">
              <w:rPr>
                <w:rFonts w:ascii="Times New Roman" w:hAnsi="Times New Roman" w:cs="Times New Roman"/>
                <w:noProof/>
                <w:webHidden/>
              </w:rPr>
              <w:fldChar w:fldCharType="end"/>
            </w:r>
          </w:hyperlink>
        </w:p>
        <w:p w14:paraId="1BBA09FB" w14:textId="77777777" w:rsidR="00C507D2" w:rsidRPr="00C507D2" w:rsidRDefault="00386BB0">
          <w:pPr>
            <w:pStyle w:val="TOC1"/>
            <w:rPr>
              <w:rFonts w:ascii="Times New Roman" w:eastAsiaTheme="minorEastAsia" w:hAnsi="Times New Roman" w:cs="Times New Roman"/>
              <w:b w:val="0"/>
              <w:bCs w:val="0"/>
              <w:noProof/>
              <w:sz w:val="22"/>
              <w:szCs w:val="22"/>
              <w:lang w:eastAsia="bg-BG"/>
            </w:rPr>
          </w:pPr>
          <w:hyperlink w:anchor="_Toc534292210" w:history="1">
            <w:r w:rsidR="00C507D2" w:rsidRPr="00C507D2">
              <w:rPr>
                <w:rStyle w:val="Hyperlink"/>
                <w:rFonts w:ascii="Times New Roman" w:hAnsi="Times New Roman" w:cs="Times New Roman"/>
                <w:noProof/>
              </w:rPr>
              <w:t>13. Дейности, допустими за финансиране:</w:t>
            </w:r>
            <w:r w:rsidR="00C507D2" w:rsidRPr="00C507D2">
              <w:rPr>
                <w:rFonts w:ascii="Times New Roman" w:hAnsi="Times New Roman" w:cs="Times New Roman"/>
                <w:noProof/>
                <w:webHidden/>
              </w:rPr>
              <w:tab/>
            </w:r>
            <w:r w:rsidR="00C507D2" w:rsidRPr="00C507D2">
              <w:rPr>
                <w:rFonts w:ascii="Times New Roman" w:hAnsi="Times New Roman" w:cs="Times New Roman"/>
                <w:noProof/>
                <w:webHidden/>
              </w:rPr>
              <w:fldChar w:fldCharType="begin"/>
            </w:r>
            <w:r w:rsidR="00C507D2" w:rsidRPr="00C507D2">
              <w:rPr>
                <w:rFonts w:ascii="Times New Roman" w:hAnsi="Times New Roman" w:cs="Times New Roman"/>
                <w:noProof/>
                <w:webHidden/>
              </w:rPr>
              <w:instrText xml:space="preserve"> PAGEREF _Toc534292210 \h </w:instrText>
            </w:r>
            <w:r w:rsidR="00C507D2" w:rsidRPr="00C507D2">
              <w:rPr>
                <w:rFonts w:ascii="Times New Roman" w:hAnsi="Times New Roman" w:cs="Times New Roman"/>
                <w:noProof/>
                <w:webHidden/>
              </w:rPr>
            </w:r>
            <w:r w:rsidR="00C507D2" w:rsidRPr="00C507D2">
              <w:rPr>
                <w:rFonts w:ascii="Times New Roman" w:hAnsi="Times New Roman" w:cs="Times New Roman"/>
                <w:noProof/>
                <w:webHidden/>
              </w:rPr>
              <w:fldChar w:fldCharType="separate"/>
            </w:r>
            <w:r w:rsidR="00C507D2" w:rsidRPr="00C507D2">
              <w:rPr>
                <w:rFonts w:ascii="Times New Roman" w:hAnsi="Times New Roman" w:cs="Times New Roman"/>
                <w:noProof/>
                <w:webHidden/>
              </w:rPr>
              <w:t>16</w:t>
            </w:r>
            <w:r w:rsidR="00C507D2" w:rsidRPr="00C507D2">
              <w:rPr>
                <w:rFonts w:ascii="Times New Roman" w:hAnsi="Times New Roman" w:cs="Times New Roman"/>
                <w:noProof/>
                <w:webHidden/>
              </w:rPr>
              <w:fldChar w:fldCharType="end"/>
            </w:r>
          </w:hyperlink>
        </w:p>
        <w:p w14:paraId="4B1DA3D2" w14:textId="77777777" w:rsidR="00C507D2" w:rsidRPr="00C507D2" w:rsidRDefault="00386BB0">
          <w:pPr>
            <w:pStyle w:val="TOC2"/>
            <w:rPr>
              <w:rFonts w:ascii="Times New Roman" w:eastAsiaTheme="minorEastAsia" w:hAnsi="Times New Roman" w:cs="Times New Roman"/>
              <w:b w:val="0"/>
              <w:bCs w:val="0"/>
              <w:noProof/>
              <w:lang w:eastAsia="bg-BG"/>
            </w:rPr>
          </w:pPr>
          <w:hyperlink w:anchor="_Toc534292211" w:history="1">
            <w:r w:rsidR="00C507D2" w:rsidRPr="00C507D2">
              <w:rPr>
                <w:rStyle w:val="Hyperlink"/>
                <w:rFonts w:ascii="Times New Roman" w:hAnsi="Times New Roman" w:cs="Times New Roman"/>
                <w:noProof/>
              </w:rPr>
              <w:t>13.1: Допустими дейности:</w:t>
            </w:r>
            <w:r w:rsidR="00C507D2" w:rsidRPr="00C507D2">
              <w:rPr>
                <w:rFonts w:ascii="Times New Roman" w:hAnsi="Times New Roman" w:cs="Times New Roman"/>
                <w:noProof/>
                <w:webHidden/>
              </w:rPr>
              <w:tab/>
            </w:r>
            <w:r w:rsidR="00C507D2" w:rsidRPr="00C507D2">
              <w:rPr>
                <w:rFonts w:ascii="Times New Roman" w:hAnsi="Times New Roman" w:cs="Times New Roman"/>
                <w:noProof/>
                <w:webHidden/>
              </w:rPr>
              <w:fldChar w:fldCharType="begin"/>
            </w:r>
            <w:r w:rsidR="00C507D2" w:rsidRPr="00C507D2">
              <w:rPr>
                <w:rFonts w:ascii="Times New Roman" w:hAnsi="Times New Roman" w:cs="Times New Roman"/>
                <w:noProof/>
                <w:webHidden/>
              </w:rPr>
              <w:instrText xml:space="preserve"> PAGEREF _Toc534292211 \h </w:instrText>
            </w:r>
            <w:r w:rsidR="00C507D2" w:rsidRPr="00C507D2">
              <w:rPr>
                <w:rFonts w:ascii="Times New Roman" w:hAnsi="Times New Roman" w:cs="Times New Roman"/>
                <w:noProof/>
                <w:webHidden/>
              </w:rPr>
            </w:r>
            <w:r w:rsidR="00C507D2" w:rsidRPr="00C507D2">
              <w:rPr>
                <w:rFonts w:ascii="Times New Roman" w:hAnsi="Times New Roman" w:cs="Times New Roman"/>
                <w:noProof/>
                <w:webHidden/>
              </w:rPr>
              <w:fldChar w:fldCharType="separate"/>
            </w:r>
            <w:r w:rsidR="00C507D2" w:rsidRPr="00C507D2">
              <w:rPr>
                <w:rFonts w:ascii="Times New Roman" w:hAnsi="Times New Roman" w:cs="Times New Roman"/>
                <w:noProof/>
                <w:webHidden/>
              </w:rPr>
              <w:t>16</w:t>
            </w:r>
            <w:r w:rsidR="00C507D2" w:rsidRPr="00C507D2">
              <w:rPr>
                <w:rFonts w:ascii="Times New Roman" w:hAnsi="Times New Roman" w:cs="Times New Roman"/>
                <w:noProof/>
                <w:webHidden/>
              </w:rPr>
              <w:fldChar w:fldCharType="end"/>
            </w:r>
          </w:hyperlink>
        </w:p>
        <w:p w14:paraId="4B228DA0" w14:textId="77777777" w:rsidR="00C507D2" w:rsidRPr="00C507D2" w:rsidRDefault="00386BB0">
          <w:pPr>
            <w:pStyle w:val="TOC2"/>
            <w:rPr>
              <w:rFonts w:ascii="Times New Roman" w:eastAsiaTheme="minorEastAsia" w:hAnsi="Times New Roman" w:cs="Times New Roman"/>
              <w:b w:val="0"/>
              <w:bCs w:val="0"/>
              <w:noProof/>
              <w:lang w:eastAsia="bg-BG"/>
            </w:rPr>
          </w:pPr>
          <w:hyperlink w:anchor="_Toc534292212" w:history="1">
            <w:r w:rsidR="00C507D2" w:rsidRPr="00C507D2">
              <w:rPr>
                <w:rStyle w:val="Hyperlink"/>
                <w:rFonts w:ascii="Times New Roman" w:hAnsi="Times New Roman" w:cs="Times New Roman"/>
                <w:noProof/>
              </w:rPr>
              <w:t>13.2. Условия за допустимост на дейностите:</w:t>
            </w:r>
            <w:r w:rsidR="00C507D2" w:rsidRPr="00C507D2">
              <w:rPr>
                <w:rFonts w:ascii="Times New Roman" w:hAnsi="Times New Roman" w:cs="Times New Roman"/>
                <w:noProof/>
                <w:webHidden/>
              </w:rPr>
              <w:tab/>
            </w:r>
            <w:r w:rsidR="00C507D2" w:rsidRPr="00C507D2">
              <w:rPr>
                <w:rFonts w:ascii="Times New Roman" w:hAnsi="Times New Roman" w:cs="Times New Roman"/>
                <w:noProof/>
                <w:webHidden/>
              </w:rPr>
              <w:fldChar w:fldCharType="begin"/>
            </w:r>
            <w:r w:rsidR="00C507D2" w:rsidRPr="00C507D2">
              <w:rPr>
                <w:rFonts w:ascii="Times New Roman" w:hAnsi="Times New Roman" w:cs="Times New Roman"/>
                <w:noProof/>
                <w:webHidden/>
              </w:rPr>
              <w:instrText xml:space="preserve"> PAGEREF _Toc534292212 \h </w:instrText>
            </w:r>
            <w:r w:rsidR="00C507D2" w:rsidRPr="00C507D2">
              <w:rPr>
                <w:rFonts w:ascii="Times New Roman" w:hAnsi="Times New Roman" w:cs="Times New Roman"/>
                <w:noProof/>
                <w:webHidden/>
              </w:rPr>
            </w:r>
            <w:r w:rsidR="00C507D2" w:rsidRPr="00C507D2">
              <w:rPr>
                <w:rFonts w:ascii="Times New Roman" w:hAnsi="Times New Roman" w:cs="Times New Roman"/>
                <w:noProof/>
                <w:webHidden/>
              </w:rPr>
              <w:fldChar w:fldCharType="separate"/>
            </w:r>
            <w:r w:rsidR="00C507D2" w:rsidRPr="00C507D2">
              <w:rPr>
                <w:rFonts w:ascii="Times New Roman" w:hAnsi="Times New Roman" w:cs="Times New Roman"/>
                <w:noProof/>
                <w:webHidden/>
              </w:rPr>
              <w:t>17</w:t>
            </w:r>
            <w:r w:rsidR="00C507D2" w:rsidRPr="00C507D2">
              <w:rPr>
                <w:rFonts w:ascii="Times New Roman" w:hAnsi="Times New Roman" w:cs="Times New Roman"/>
                <w:noProof/>
                <w:webHidden/>
              </w:rPr>
              <w:fldChar w:fldCharType="end"/>
            </w:r>
          </w:hyperlink>
        </w:p>
        <w:p w14:paraId="07A000E8" w14:textId="77777777" w:rsidR="00C507D2" w:rsidRPr="00C507D2" w:rsidRDefault="00386BB0">
          <w:pPr>
            <w:pStyle w:val="TOC2"/>
            <w:rPr>
              <w:rFonts w:ascii="Times New Roman" w:eastAsiaTheme="minorEastAsia" w:hAnsi="Times New Roman" w:cs="Times New Roman"/>
              <w:b w:val="0"/>
              <w:bCs w:val="0"/>
              <w:noProof/>
              <w:lang w:eastAsia="bg-BG"/>
            </w:rPr>
          </w:pPr>
          <w:hyperlink w:anchor="_Toc534292213" w:history="1">
            <w:r w:rsidR="00C507D2" w:rsidRPr="00C507D2">
              <w:rPr>
                <w:rStyle w:val="Hyperlink"/>
                <w:rFonts w:ascii="Times New Roman" w:hAnsi="Times New Roman" w:cs="Times New Roman"/>
                <w:noProof/>
              </w:rPr>
              <w:t>13.3. Недопустими дейности</w:t>
            </w:r>
            <w:r w:rsidR="00C507D2" w:rsidRPr="00C507D2">
              <w:rPr>
                <w:rFonts w:ascii="Times New Roman" w:hAnsi="Times New Roman" w:cs="Times New Roman"/>
                <w:noProof/>
                <w:webHidden/>
              </w:rPr>
              <w:tab/>
            </w:r>
            <w:r w:rsidR="00C507D2" w:rsidRPr="00C507D2">
              <w:rPr>
                <w:rFonts w:ascii="Times New Roman" w:hAnsi="Times New Roman" w:cs="Times New Roman"/>
                <w:noProof/>
                <w:webHidden/>
              </w:rPr>
              <w:fldChar w:fldCharType="begin"/>
            </w:r>
            <w:r w:rsidR="00C507D2" w:rsidRPr="00C507D2">
              <w:rPr>
                <w:rFonts w:ascii="Times New Roman" w:hAnsi="Times New Roman" w:cs="Times New Roman"/>
                <w:noProof/>
                <w:webHidden/>
              </w:rPr>
              <w:instrText xml:space="preserve"> PAGEREF _Toc534292213 \h </w:instrText>
            </w:r>
            <w:r w:rsidR="00C507D2" w:rsidRPr="00C507D2">
              <w:rPr>
                <w:rFonts w:ascii="Times New Roman" w:hAnsi="Times New Roman" w:cs="Times New Roman"/>
                <w:noProof/>
                <w:webHidden/>
              </w:rPr>
            </w:r>
            <w:r w:rsidR="00C507D2" w:rsidRPr="00C507D2">
              <w:rPr>
                <w:rFonts w:ascii="Times New Roman" w:hAnsi="Times New Roman" w:cs="Times New Roman"/>
                <w:noProof/>
                <w:webHidden/>
              </w:rPr>
              <w:fldChar w:fldCharType="separate"/>
            </w:r>
            <w:r w:rsidR="00C507D2" w:rsidRPr="00C507D2">
              <w:rPr>
                <w:rFonts w:ascii="Times New Roman" w:hAnsi="Times New Roman" w:cs="Times New Roman"/>
                <w:noProof/>
                <w:webHidden/>
              </w:rPr>
              <w:t>19</w:t>
            </w:r>
            <w:r w:rsidR="00C507D2" w:rsidRPr="00C507D2">
              <w:rPr>
                <w:rFonts w:ascii="Times New Roman" w:hAnsi="Times New Roman" w:cs="Times New Roman"/>
                <w:noProof/>
                <w:webHidden/>
              </w:rPr>
              <w:fldChar w:fldCharType="end"/>
            </w:r>
          </w:hyperlink>
        </w:p>
        <w:p w14:paraId="204F663A" w14:textId="77777777" w:rsidR="00C507D2" w:rsidRPr="00C507D2" w:rsidRDefault="00386BB0">
          <w:pPr>
            <w:pStyle w:val="TOC1"/>
            <w:rPr>
              <w:rFonts w:ascii="Times New Roman" w:eastAsiaTheme="minorEastAsia" w:hAnsi="Times New Roman" w:cs="Times New Roman"/>
              <w:b w:val="0"/>
              <w:bCs w:val="0"/>
              <w:noProof/>
              <w:sz w:val="22"/>
              <w:szCs w:val="22"/>
              <w:lang w:eastAsia="bg-BG"/>
            </w:rPr>
          </w:pPr>
          <w:hyperlink w:anchor="_Toc534292214" w:history="1">
            <w:r w:rsidR="00C507D2" w:rsidRPr="00C507D2">
              <w:rPr>
                <w:rStyle w:val="Hyperlink"/>
                <w:rFonts w:ascii="Times New Roman" w:hAnsi="Times New Roman" w:cs="Times New Roman"/>
                <w:noProof/>
              </w:rPr>
              <w:t>14. Категории разходи, допустими за финансиране:</w:t>
            </w:r>
            <w:r w:rsidR="00C507D2" w:rsidRPr="00C507D2">
              <w:rPr>
                <w:rFonts w:ascii="Times New Roman" w:hAnsi="Times New Roman" w:cs="Times New Roman"/>
                <w:noProof/>
                <w:webHidden/>
              </w:rPr>
              <w:tab/>
            </w:r>
            <w:r w:rsidR="00C507D2" w:rsidRPr="00C507D2">
              <w:rPr>
                <w:rFonts w:ascii="Times New Roman" w:hAnsi="Times New Roman" w:cs="Times New Roman"/>
                <w:noProof/>
                <w:webHidden/>
              </w:rPr>
              <w:fldChar w:fldCharType="begin"/>
            </w:r>
            <w:r w:rsidR="00C507D2" w:rsidRPr="00C507D2">
              <w:rPr>
                <w:rFonts w:ascii="Times New Roman" w:hAnsi="Times New Roman" w:cs="Times New Roman"/>
                <w:noProof/>
                <w:webHidden/>
              </w:rPr>
              <w:instrText xml:space="preserve"> PAGEREF _Toc534292214 \h </w:instrText>
            </w:r>
            <w:r w:rsidR="00C507D2" w:rsidRPr="00C507D2">
              <w:rPr>
                <w:rFonts w:ascii="Times New Roman" w:hAnsi="Times New Roman" w:cs="Times New Roman"/>
                <w:noProof/>
                <w:webHidden/>
              </w:rPr>
            </w:r>
            <w:r w:rsidR="00C507D2" w:rsidRPr="00C507D2">
              <w:rPr>
                <w:rFonts w:ascii="Times New Roman" w:hAnsi="Times New Roman" w:cs="Times New Roman"/>
                <w:noProof/>
                <w:webHidden/>
              </w:rPr>
              <w:fldChar w:fldCharType="separate"/>
            </w:r>
            <w:r w:rsidR="00C507D2" w:rsidRPr="00C507D2">
              <w:rPr>
                <w:rFonts w:ascii="Times New Roman" w:hAnsi="Times New Roman" w:cs="Times New Roman"/>
                <w:noProof/>
                <w:webHidden/>
              </w:rPr>
              <w:t>19</w:t>
            </w:r>
            <w:r w:rsidR="00C507D2" w:rsidRPr="00C507D2">
              <w:rPr>
                <w:rFonts w:ascii="Times New Roman" w:hAnsi="Times New Roman" w:cs="Times New Roman"/>
                <w:noProof/>
                <w:webHidden/>
              </w:rPr>
              <w:fldChar w:fldCharType="end"/>
            </w:r>
          </w:hyperlink>
        </w:p>
        <w:p w14:paraId="21117D6A" w14:textId="77777777" w:rsidR="00C507D2" w:rsidRPr="00C507D2" w:rsidRDefault="00386BB0">
          <w:pPr>
            <w:pStyle w:val="TOC2"/>
            <w:rPr>
              <w:rFonts w:ascii="Times New Roman" w:eastAsiaTheme="minorEastAsia" w:hAnsi="Times New Roman" w:cs="Times New Roman"/>
              <w:b w:val="0"/>
              <w:bCs w:val="0"/>
              <w:noProof/>
              <w:lang w:eastAsia="bg-BG"/>
            </w:rPr>
          </w:pPr>
          <w:hyperlink w:anchor="_Toc534292215" w:history="1">
            <w:r w:rsidR="00C507D2" w:rsidRPr="00C507D2">
              <w:rPr>
                <w:rStyle w:val="Hyperlink"/>
                <w:rFonts w:ascii="Times New Roman" w:hAnsi="Times New Roman" w:cs="Times New Roman"/>
                <w:noProof/>
              </w:rPr>
              <w:t>14.1. Допустими разходи</w:t>
            </w:r>
            <w:r w:rsidR="00C507D2" w:rsidRPr="00C507D2">
              <w:rPr>
                <w:rFonts w:ascii="Times New Roman" w:hAnsi="Times New Roman" w:cs="Times New Roman"/>
                <w:noProof/>
                <w:webHidden/>
              </w:rPr>
              <w:tab/>
            </w:r>
            <w:r w:rsidR="00C507D2" w:rsidRPr="00C507D2">
              <w:rPr>
                <w:rFonts w:ascii="Times New Roman" w:hAnsi="Times New Roman" w:cs="Times New Roman"/>
                <w:noProof/>
                <w:webHidden/>
              </w:rPr>
              <w:fldChar w:fldCharType="begin"/>
            </w:r>
            <w:r w:rsidR="00C507D2" w:rsidRPr="00C507D2">
              <w:rPr>
                <w:rFonts w:ascii="Times New Roman" w:hAnsi="Times New Roman" w:cs="Times New Roman"/>
                <w:noProof/>
                <w:webHidden/>
              </w:rPr>
              <w:instrText xml:space="preserve"> PAGEREF _Toc534292215 \h </w:instrText>
            </w:r>
            <w:r w:rsidR="00C507D2" w:rsidRPr="00C507D2">
              <w:rPr>
                <w:rFonts w:ascii="Times New Roman" w:hAnsi="Times New Roman" w:cs="Times New Roman"/>
                <w:noProof/>
                <w:webHidden/>
              </w:rPr>
            </w:r>
            <w:r w:rsidR="00C507D2" w:rsidRPr="00C507D2">
              <w:rPr>
                <w:rFonts w:ascii="Times New Roman" w:hAnsi="Times New Roman" w:cs="Times New Roman"/>
                <w:noProof/>
                <w:webHidden/>
              </w:rPr>
              <w:fldChar w:fldCharType="separate"/>
            </w:r>
            <w:r w:rsidR="00C507D2" w:rsidRPr="00C507D2">
              <w:rPr>
                <w:rFonts w:ascii="Times New Roman" w:hAnsi="Times New Roman" w:cs="Times New Roman"/>
                <w:noProof/>
                <w:webHidden/>
              </w:rPr>
              <w:t>19</w:t>
            </w:r>
            <w:r w:rsidR="00C507D2" w:rsidRPr="00C507D2">
              <w:rPr>
                <w:rFonts w:ascii="Times New Roman" w:hAnsi="Times New Roman" w:cs="Times New Roman"/>
                <w:noProof/>
                <w:webHidden/>
              </w:rPr>
              <w:fldChar w:fldCharType="end"/>
            </w:r>
          </w:hyperlink>
        </w:p>
        <w:p w14:paraId="370503C8" w14:textId="77777777" w:rsidR="00C507D2" w:rsidRPr="00C507D2" w:rsidRDefault="00386BB0">
          <w:pPr>
            <w:pStyle w:val="TOC2"/>
            <w:rPr>
              <w:rFonts w:ascii="Times New Roman" w:eastAsiaTheme="minorEastAsia" w:hAnsi="Times New Roman" w:cs="Times New Roman"/>
              <w:b w:val="0"/>
              <w:bCs w:val="0"/>
              <w:noProof/>
              <w:lang w:eastAsia="bg-BG"/>
            </w:rPr>
          </w:pPr>
          <w:hyperlink w:anchor="_Toc534292216" w:history="1">
            <w:r w:rsidR="00C507D2" w:rsidRPr="00C507D2">
              <w:rPr>
                <w:rStyle w:val="Hyperlink"/>
                <w:rFonts w:ascii="Times New Roman" w:hAnsi="Times New Roman" w:cs="Times New Roman"/>
                <w:noProof/>
              </w:rPr>
              <w:t>14.2. Условия за допустимост на разходите</w:t>
            </w:r>
            <w:r w:rsidR="00C507D2" w:rsidRPr="00C507D2">
              <w:rPr>
                <w:rFonts w:ascii="Times New Roman" w:hAnsi="Times New Roman" w:cs="Times New Roman"/>
                <w:noProof/>
                <w:webHidden/>
              </w:rPr>
              <w:tab/>
            </w:r>
            <w:r w:rsidR="00C507D2" w:rsidRPr="00C507D2">
              <w:rPr>
                <w:rFonts w:ascii="Times New Roman" w:hAnsi="Times New Roman" w:cs="Times New Roman"/>
                <w:noProof/>
                <w:webHidden/>
              </w:rPr>
              <w:fldChar w:fldCharType="begin"/>
            </w:r>
            <w:r w:rsidR="00C507D2" w:rsidRPr="00C507D2">
              <w:rPr>
                <w:rFonts w:ascii="Times New Roman" w:hAnsi="Times New Roman" w:cs="Times New Roman"/>
                <w:noProof/>
                <w:webHidden/>
              </w:rPr>
              <w:instrText xml:space="preserve"> PAGEREF _Toc534292216 \h </w:instrText>
            </w:r>
            <w:r w:rsidR="00C507D2" w:rsidRPr="00C507D2">
              <w:rPr>
                <w:rFonts w:ascii="Times New Roman" w:hAnsi="Times New Roman" w:cs="Times New Roman"/>
                <w:noProof/>
                <w:webHidden/>
              </w:rPr>
            </w:r>
            <w:r w:rsidR="00C507D2" w:rsidRPr="00C507D2">
              <w:rPr>
                <w:rFonts w:ascii="Times New Roman" w:hAnsi="Times New Roman" w:cs="Times New Roman"/>
                <w:noProof/>
                <w:webHidden/>
              </w:rPr>
              <w:fldChar w:fldCharType="separate"/>
            </w:r>
            <w:r w:rsidR="00C507D2" w:rsidRPr="00C507D2">
              <w:rPr>
                <w:rFonts w:ascii="Times New Roman" w:hAnsi="Times New Roman" w:cs="Times New Roman"/>
                <w:noProof/>
                <w:webHidden/>
              </w:rPr>
              <w:t>20</w:t>
            </w:r>
            <w:r w:rsidR="00C507D2" w:rsidRPr="00C507D2">
              <w:rPr>
                <w:rFonts w:ascii="Times New Roman" w:hAnsi="Times New Roman" w:cs="Times New Roman"/>
                <w:noProof/>
                <w:webHidden/>
              </w:rPr>
              <w:fldChar w:fldCharType="end"/>
            </w:r>
          </w:hyperlink>
        </w:p>
        <w:p w14:paraId="566ED2F1" w14:textId="77777777" w:rsidR="00C507D2" w:rsidRPr="00C507D2" w:rsidRDefault="00386BB0">
          <w:pPr>
            <w:pStyle w:val="TOC2"/>
            <w:rPr>
              <w:rFonts w:ascii="Times New Roman" w:eastAsiaTheme="minorEastAsia" w:hAnsi="Times New Roman" w:cs="Times New Roman"/>
              <w:b w:val="0"/>
              <w:bCs w:val="0"/>
              <w:noProof/>
              <w:lang w:eastAsia="bg-BG"/>
            </w:rPr>
          </w:pPr>
          <w:hyperlink w:anchor="_Toc534292217" w:history="1">
            <w:r w:rsidR="00C507D2" w:rsidRPr="00C507D2">
              <w:rPr>
                <w:rStyle w:val="Hyperlink"/>
                <w:rFonts w:ascii="Times New Roman" w:hAnsi="Times New Roman" w:cs="Times New Roman"/>
                <w:noProof/>
              </w:rPr>
              <w:t>14.3. Недопустими разходи</w:t>
            </w:r>
            <w:r w:rsidR="00C507D2" w:rsidRPr="00C507D2">
              <w:rPr>
                <w:rFonts w:ascii="Times New Roman" w:hAnsi="Times New Roman" w:cs="Times New Roman"/>
                <w:noProof/>
                <w:webHidden/>
              </w:rPr>
              <w:tab/>
            </w:r>
            <w:r w:rsidR="00C507D2" w:rsidRPr="00C507D2">
              <w:rPr>
                <w:rFonts w:ascii="Times New Roman" w:hAnsi="Times New Roman" w:cs="Times New Roman"/>
                <w:noProof/>
                <w:webHidden/>
              </w:rPr>
              <w:fldChar w:fldCharType="begin"/>
            </w:r>
            <w:r w:rsidR="00C507D2" w:rsidRPr="00C507D2">
              <w:rPr>
                <w:rFonts w:ascii="Times New Roman" w:hAnsi="Times New Roman" w:cs="Times New Roman"/>
                <w:noProof/>
                <w:webHidden/>
              </w:rPr>
              <w:instrText xml:space="preserve"> PAGEREF _Toc534292217 \h </w:instrText>
            </w:r>
            <w:r w:rsidR="00C507D2" w:rsidRPr="00C507D2">
              <w:rPr>
                <w:rFonts w:ascii="Times New Roman" w:hAnsi="Times New Roman" w:cs="Times New Roman"/>
                <w:noProof/>
                <w:webHidden/>
              </w:rPr>
            </w:r>
            <w:r w:rsidR="00C507D2" w:rsidRPr="00C507D2">
              <w:rPr>
                <w:rFonts w:ascii="Times New Roman" w:hAnsi="Times New Roman" w:cs="Times New Roman"/>
                <w:noProof/>
                <w:webHidden/>
              </w:rPr>
              <w:fldChar w:fldCharType="separate"/>
            </w:r>
            <w:r w:rsidR="00C507D2" w:rsidRPr="00C507D2">
              <w:rPr>
                <w:rFonts w:ascii="Times New Roman" w:hAnsi="Times New Roman" w:cs="Times New Roman"/>
                <w:noProof/>
                <w:webHidden/>
              </w:rPr>
              <w:t>21</w:t>
            </w:r>
            <w:r w:rsidR="00C507D2" w:rsidRPr="00C507D2">
              <w:rPr>
                <w:rFonts w:ascii="Times New Roman" w:hAnsi="Times New Roman" w:cs="Times New Roman"/>
                <w:noProof/>
                <w:webHidden/>
              </w:rPr>
              <w:fldChar w:fldCharType="end"/>
            </w:r>
          </w:hyperlink>
        </w:p>
        <w:p w14:paraId="749F45BC" w14:textId="77777777" w:rsidR="00C507D2" w:rsidRPr="00C507D2" w:rsidRDefault="00386BB0">
          <w:pPr>
            <w:pStyle w:val="TOC1"/>
            <w:rPr>
              <w:rFonts w:ascii="Times New Roman" w:eastAsiaTheme="minorEastAsia" w:hAnsi="Times New Roman" w:cs="Times New Roman"/>
              <w:b w:val="0"/>
              <w:bCs w:val="0"/>
              <w:noProof/>
              <w:sz w:val="22"/>
              <w:szCs w:val="22"/>
              <w:lang w:eastAsia="bg-BG"/>
            </w:rPr>
          </w:pPr>
          <w:hyperlink w:anchor="_Toc534292218" w:history="1">
            <w:r w:rsidR="00C507D2" w:rsidRPr="00C507D2">
              <w:rPr>
                <w:rStyle w:val="Hyperlink"/>
                <w:rFonts w:ascii="Times New Roman" w:hAnsi="Times New Roman" w:cs="Times New Roman"/>
                <w:noProof/>
              </w:rPr>
              <w:t>15. Допустими целеви групи :</w:t>
            </w:r>
            <w:r w:rsidR="00C507D2" w:rsidRPr="00C507D2">
              <w:rPr>
                <w:rFonts w:ascii="Times New Roman" w:hAnsi="Times New Roman" w:cs="Times New Roman"/>
                <w:noProof/>
                <w:webHidden/>
              </w:rPr>
              <w:tab/>
            </w:r>
            <w:r w:rsidR="00C507D2" w:rsidRPr="00C507D2">
              <w:rPr>
                <w:rFonts w:ascii="Times New Roman" w:hAnsi="Times New Roman" w:cs="Times New Roman"/>
                <w:noProof/>
                <w:webHidden/>
              </w:rPr>
              <w:fldChar w:fldCharType="begin"/>
            </w:r>
            <w:r w:rsidR="00C507D2" w:rsidRPr="00C507D2">
              <w:rPr>
                <w:rFonts w:ascii="Times New Roman" w:hAnsi="Times New Roman" w:cs="Times New Roman"/>
                <w:noProof/>
                <w:webHidden/>
              </w:rPr>
              <w:instrText xml:space="preserve"> PAGEREF _Toc534292218 \h </w:instrText>
            </w:r>
            <w:r w:rsidR="00C507D2" w:rsidRPr="00C507D2">
              <w:rPr>
                <w:rFonts w:ascii="Times New Roman" w:hAnsi="Times New Roman" w:cs="Times New Roman"/>
                <w:noProof/>
                <w:webHidden/>
              </w:rPr>
            </w:r>
            <w:r w:rsidR="00C507D2" w:rsidRPr="00C507D2">
              <w:rPr>
                <w:rFonts w:ascii="Times New Roman" w:hAnsi="Times New Roman" w:cs="Times New Roman"/>
                <w:noProof/>
                <w:webHidden/>
              </w:rPr>
              <w:fldChar w:fldCharType="separate"/>
            </w:r>
            <w:r w:rsidR="00C507D2" w:rsidRPr="00C507D2">
              <w:rPr>
                <w:rFonts w:ascii="Times New Roman" w:hAnsi="Times New Roman" w:cs="Times New Roman"/>
                <w:noProof/>
                <w:webHidden/>
              </w:rPr>
              <w:t>22</w:t>
            </w:r>
            <w:r w:rsidR="00C507D2" w:rsidRPr="00C507D2">
              <w:rPr>
                <w:rFonts w:ascii="Times New Roman" w:hAnsi="Times New Roman" w:cs="Times New Roman"/>
                <w:noProof/>
                <w:webHidden/>
              </w:rPr>
              <w:fldChar w:fldCharType="end"/>
            </w:r>
          </w:hyperlink>
        </w:p>
        <w:p w14:paraId="1D432380" w14:textId="77777777" w:rsidR="00C507D2" w:rsidRPr="00C507D2" w:rsidRDefault="00386BB0">
          <w:pPr>
            <w:pStyle w:val="TOC1"/>
            <w:rPr>
              <w:rFonts w:ascii="Times New Roman" w:eastAsiaTheme="minorEastAsia" w:hAnsi="Times New Roman" w:cs="Times New Roman"/>
              <w:b w:val="0"/>
              <w:bCs w:val="0"/>
              <w:noProof/>
              <w:sz w:val="22"/>
              <w:szCs w:val="22"/>
              <w:lang w:eastAsia="bg-BG"/>
            </w:rPr>
          </w:pPr>
          <w:hyperlink w:anchor="_Toc534292219" w:history="1">
            <w:r w:rsidR="00C507D2" w:rsidRPr="00C507D2">
              <w:rPr>
                <w:rStyle w:val="Hyperlink"/>
                <w:rFonts w:ascii="Times New Roman" w:hAnsi="Times New Roman" w:cs="Times New Roman"/>
                <w:noProof/>
              </w:rPr>
              <w:t>16. Приложим режим на минимални помощи:</w:t>
            </w:r>
            <w:r w:rsidR="00C507D2" w:rsidRPr="00C507D2">
              <w:rPr>
                <w:rFonts w:ascii="Times New Roman" w:hAnsi="Times New Roman" w:cs="Times New Roman"/>
                <w:noProof/>
                <w:webHidden/>
              </w:rPr>
              <w:tab/>
            </w:r>
            <w:r w:rsidR="00C507D2" w:rsidRPr="00C507D2">
              <w:rPr>
                <w:rFonts w:ascii="Times New Roman" w:hAnsi="Times New Roman" w:cs="Times New Roman"/>
                <w:noProof/>
                <w:webHidden/>
              </w:rPr>
              <w:fldChar w:fldCharType="begin"/>
            </w:r>
            <w:r w:rsidR="00C507D2" w:rsidRPr="00C507D2">
              <w:rPr>
                <w:rFonts w:ascii="Times New Roman" w:hAnsi="Times New Roman" w:cs="Times New Roman"/>
                <w:noProof/>
                <w:webHidden/>
              </w:rPr>
              <w:instrText xml:space="preserve"> PAGEREF _Toc534292219 \h </w:instrText>
            </w:r>
            <w:r w:rsidR="00C507D2" w:rsidRPr="00C507D2">
              <w:rPr>
                <w:rFonts w:ascii="Times New Roman" w:hAnsi="Times New Roman" w:cs="Times New Roman"/>
                <w:noProof/>
                <w:webHidden/>
              </w:rPr>
            </w:r>
            <w:r w:rsidR="00C507D2" w:rsidRPr="00C507D2">
              <w:rPr>
                <w:rFonts w:ascii="Times New Roman" w:hAnsi="Times New Roman" w:cs="Times New Roman"/>
                <w:noProof/>
                <w:webHidden/>
              </w:rPr>
              <w:fldChar w:fldCharType="separate"/>
            </w:r>
            <w:r w:rsidR="00C507D2" w:rsidRPr="00C507D2">
              <w:rPr>
                <w:rFonts w:ascii="Times New Roman" w:hAnsi="Times New Roman" w:cs="Times New Roman"/>
                <w:noProof/>
                <w:webHidden/>
              </w:rPr>
              <w:t>22</w:t>
            </w:r>
            <w:r w:rsidR="00C507D2" w:rsidRPr="00C507D2">
              <w:rPr>
                <w:rFonts w:ascii="Times New Roman" w:hAnsi="Times New Roman" w:cs="Times New Roman"/>
                <w:noProof/>
                <w:webHidden/>
              </w:rPr>
              <w:fldChar w:fldCharType="end"/>
            </w:r>
          </w:hyperlink>
        </w:p>
        <w:p w14:paraId="33B5B60D" w14:textId="77777777" w:rsidR="00C507D2" w:rsidRPr="00C507D2" w:rsidRDefault="00386BB0">
          <w:pPr>
            <w:pStyle w:val="TOC1"/>
            <w:rPr>
              <w:rFonts w:ascii="Times New Roman" w:eastAsiaTheme="minorEastAsia" w:hAnsi="Times New Roman" w:cs="Times New Roman"/>
              <w:b w:val="0"/>
              <w:bCs w:val="0"/>
              <w:noProof/>
              <w:sz w:val="22"/>
              <w:szCs w:val="22"/>
              <w:lang w:eastAsia="bg-BG"/>
            </w:rPr>
          </w:pPr>
          <w:hyperlink w:anchor="_Toc534292220" w:history="1">
            <w:r w:rsidR="00C507D2" w:rsidRPr="00C507D2">
              <w:rPr>
                <w:rStyle w:val="Hyperlink"/>
                <w:rFonts w:ascii="Times New Roman" w:hAnsi="Times New Roman" w:cs="Times New Roman"/>
                <w:noProof/>
              </w:rPr>
              <w:t>17. Хоризонтални политики:</w:t>
            </w:r>
            <w:r w:rsidR="00C507D2" w:rsidRPr="00C507D2">
              <w:rPr>
                <w:rFonts w:ascii="Times New Roman" w:hAnsi="Times New Roman" w:cs="Times New Roman"/>
                <w:noProof/>
                <w:webHidden/>
              </w:rPr>
              <w:tab/>
            </w:r>
            <w:r w:rsidR="00C507D2" w:rsidRPr="00C507D2">
              <w:rPr>
                <w:rFonts w:ascii="Times New Roman" w:hAnsi="Times New Roman" w:cs="Times New Roman"/>
                <w:noProof/>
                <w:webHidden/>
              </w:rPr>
              <w:fldChar w:fldCharType="begin"/>
            </w:r>
            <w:r w:rsidR="00C507D2" w:rsidRPr="00C507D2">
              <w:rPr>
                <w:rFonts w:ascii="Times New Roman" w:hAnsi="Times New Roman" w:cs="Times New Roman"/>
                <w:noProof/>
                <w:webHidden/>
              </w:rPr>
              <w:instrText xml:space="preserve"> PAGEREF _Toc534292220 \h </w:instrText>
            </w:r>
            <w:r w:rsidR="00C507D2" w:rsidRPr="00C507D2">
              <w:rPr>
                <w:rFonts w:ascii="Times New Roman" w:hAnsi="Times New Roman" w:cs="Times New Roman"/>
                <w:noProof/>
                <w:webHidden/>
              </w:rPr>
            </w:r>
            <w:r w:rsidR="00C507D2" w:rsidRPr="00C507D2">
              <w:rPr>
                <w:rFonts w:ascii="Times New Roman" w:hAnsi="Times New Roman" w:cs="Times New Roman"/>
                <w:noProof/>
                <w:webHidden/>
              </w:rPr>
              <w:fldChar w:fldCharType="separate"/>
            </w:r>
            <w:r w:rsidR="00C507D2" w:rsidRPr="00C507D2">
              <w:rPr>
                <w:rFonts w:ascii="Times New Roman" w:hAnsi="Times New Roman" w:cs="Times New Roman"/>
                <w:noProof/>
                <w:webHidden/>
              </w:rPr>
              <w:t>30</w:t>
            </w:r>
            <w:r w:rsidR="00C507D2" w:rsidRPr="00C507D2">
              <w:rPr>
                <w:rFonts w:ascii="Times New Roman" w:hAnsi="Times New Roman" w:cs="Times New Roman"/>
                <w:noProof/>
                <w:webHidden/>
              </w:rPr>
              <w:fldChar w:fldCharType="end"/>
            </w:r>
          </w:hyperlink>
        </w:p>
        <w:p w14:paraId="5D15CE50" w14:textId="77777777" w:rsidR="00C507D2" w:rsidRPr="00C507D2" w:rsidRDefault="00386BB0">
          <w:pPr>
            <w:pStyle w:val="TOC1"/>
            <w:rPr>
              <w:rFonts w:ascii="Times New Roman" w:eastAsiaTheme="minorEastAsia" w:hAnsi="Times New Roman" w:cs="Times New Roman"/>
              <w:b w:val="0"/>
              <w:bCs w:val="0"/>
              <w:noProof/>
              <w:sz w:val="22"/>
              <w:szCs w:val="22"/>
              <w:lang w:eastAsia="bg-BG"/>
            </w:rPr>
          </w:pPr>
          <w:hyperlink w:anchor="_Toc534292221" w:history="1">
            <w:r w:rsidR="00C507D2" w:rsidRPr="00C507D2">
              <w:rPr>
                <w:rStyle w:val="Hyperlink"/>
                <w:rFonts w:ascii="Times New Roman" w:hAnsi="Times New Roman" w:cs="Times New Roman"/>
                <w:noProof/>
              </w:rPr>
              <w:t>18. Минимален и максимален срок за изпълнение на проекта:</w:t>
            </w:r>
            <w:r w:rsidR="00C507D2" w:rsidRPr="00C507D2">
              <w:rPr>
                <w:rFonts w:ascii="Times New Roman" w:hAnsi="Times New Roman" w:cs="Times New Roman"/>
                <w:noProof/>
                <w:webHidden/>
              </w:rPr>
              <w:tab/>
            </w:r>
            <w:r w:rsidR="00C507D2" w:rsidRPr="00C507D2">
              <w:rPr>
                <w:rFonts w:ascii="Times New Roman" w:hAnsi="Times New Roman" w:cs="Times New Roman"/>
                <w:noProof/>
                <w:webHidden/>
              </w:rPr>
              <w:fldChar w:fldCharType="begin"/>
            </w:r>
            <w:r w:rsidR="00C507D2" w:rsidRPr="00C507D2">
              <w:rPr>
                <w:rFonts w:ascii="Times New Roman" w:hAnsi="Times New Roman" w:cs="Times New Roman"/>
                <w:noProof/>
                <w:webHidden/>
              </w:rPr>
              <w:instrText xml:space="preserve"> PAGEREF _Toc534292221 \h </w:instrText>
            </w:r>
            <w:r w:rsidR="00C507D2" w:rsidRPr="00C507D2">
              <w:rPr>
                <w:rFonts w:ascii="Times New Roman" w:hAnsi="Times New Roman" w:cs="Times New Roman"/>
                <w:noProof/>
                <w:webHidden/>
              </w:rPr>
            </w:r>
            <w:r w:rsidR="00C507D2" w:rsidRPr="00C507D2">
              <w:rPr>
                <w:rFonts w:ascii="Times New Roman" w:hAnsi="Times New Roman" w:cs="Times New Roman"/>
                <w:noProof/>
                <w:webHidden/>
              </w:rPr>
              <w:fldChar w:fldCharType="separate"/>
            </w:r>
            <w:r w:rsidR="00C507D2" w:rsidRPr="00C507D2">
              <w:rPr>
                <w:rFonts w:ascii="Times New Roman" w:hAnsi="Times New Roman" w:cs="Times New Roman"/>
                <w:noProof/>
                <w:webHidden/>
              </w:rPr>
              <w:t>31</w:t>
            </w:r>
            <w:r w:rsidR="00C507D2" w:rsidRPr="00C507D2">
              <w:rPr>
                <w:rFonts w:ascii="Times New Roman" w:hAnsi="Times New Roman" w:cs="Times New Roman"/>
                <w:noProof/>
                <w:webHidden/>
              </w:rPr>
              <w:fldChar w:fldCharType="end"/>
            </w:r>
          </w:hyperlink>
        </w:p>
        <w:p w14:paraId="2898B8BE" w14:textId="77777777" w:rsidR="00C507D2" w:rsidRPr="00C507D2" w:rsidRDefault="00386BB0">
          <w:pPr>
            <w:pStyle w:val="TOC1"/>
            <w:rPr>
              <w:rFonts w:ascii="Times New Roman" w:eastAsiaTheme="minorEastAsia" w:hAnsi="Times New Roman" w:cs="Times New Roman"/>
              <w:b w:val="0"/>
              <w:bCs w:val="0"/>
              <w:noProof/>
              <w:sz w:val="22"/>
              <w:szCs w:val="22"/>
              <w:lang w:eastAsia="bg-BG"/>
            </w:rPr>
          </w:pPr>
          <w:hyperlink w:anchor="_Toc534292222" w:history="1">
            <w:r w:rsidR="00C507D2" w:rsidRPr="00C507D2">
              <w:rPr>
                <w:rStyle w:val="Hyperlink"/>
                <w:rFonts w:ascii="Times New Roman" w:hAnsi="Times New Roman" w:cs="Times New Roman"/>
                <w:noProof/>
              </w:rPr>
              <w:t>19. Ред за оценяване на концепциите за проектни предложения:</w:t>
            </w:r>
            <w:r w:rsidR="00C507D2" w:rsidRPr="00C507D2">
              <w:rPr>
                <w:rFonts w:ascii="Times New Roman" w:hAnsi="Times New Roman" w:cs="Times New Roman"/>
                <w:noProof/>
                <w:webHidden/>
              </w:rPr>
              <w:tab/>
            </w:r>
            <w:r w:rsidR="00C507D2" w:rsidRPr="00C507D2">
              <w:rPr>
                <w:rFonts w:ascii="Times New Roman" w:hAnsi="Times New Roman" w:cs="Times New Roman"/>
                <w:noProof/>
                <w:webHidden/>
              </w:rPr>
              <w:fldChar w:fldCharType="begin"/>
            </w:r>
            <w:r w:rsidR="00C507D2" w:rsidRPr="00C507D2">
              <w:rPr>
                <w:rFonts w:ascii="Times New Roman" w:hAnsi="Times New Roman" w:cs="Times New Roman"/>
                <w:noProof/>
                <w:webHidden/>
              </w:rPr>
              <w:instrText xml:space="preserve"> PAGEREF _Toc534292222 \h </w:instrText>
            </w:r>
            <w:r w:rsidR="00C507D2" w:rsidRPr="00C507D2">
              <w:rPr>
                <w:rFonts w:ascii="Times New Roman" w:hAnsi="Times New Roman" w:cs="Times New Roman"/>
                <w:noProof/>
                <w:webHidden/>
              </w:rPr>
            </w:r>
            <w:r w:rsidR="00C507D2" w:rsidRPr="00C507D2">
              <w:rPr>
                <w:rFonts w:ascii="Times New Roman" w:hAnsi="Times New Roman" w:cs="Times New Roman"/>
                <w:noProof/>
                <w:webHidden/>
              </w:rPr>
              <w:fldChar w:fldCharType="separate"/>
            </w:r>
            <w:r w:rsidR="00C507D2" w:rsidRPr="00C507D2">
              <w:rPr>
                <w:rFonts w:ascii="Times New Roman" w:hAnsi="Times New Roman" w:cs="Times New Roman"/>
                <w:noProof/>
                <w:webHidden/>
              </w:rPr>
              <w:t>31</w:t>
            </w:r>
            <w:r w:rsidR="00C507D2" w:rsidRPr="00C507D2">
              <w:rPr>
                <w:rFonts w:ascii="Times New Roman" w:hAnsi="Times New Roman" w:cs="Times New Roman"/>
                <w:noProof/>
                <w:webHidden/>
              </w:rPr>
              <w:fldChar w:fldCharType="end"/>
            </w:r>
          </w:hyperlink>
        </w:p>
        <w:p w14:paraId="05F41729" w14:textId="77777777" w:rsidR="00C507D2" w:rsidRPr="00C507D2" w:rsidRDefault="00386BB0">
          <w:pPr>
            <w:pStyle w:val="TOC1"/>
            <w:rPr>
              <w:rFonts w:ascii="Times New Roman" w:eastAsiaTheme="minorEastAsia" w:hAnsi="Times New Roman" w:cs="Times New Roman"/>
              <w:b w:val="0"/>
              <w:bCs w:val="0"/>
              <w:noProof/>
              <w:sz w:val="22"/>
              <w:szCs w:val="22"/>
              <w:lang w:eastAsia="bg-BG"/>
            </w:rPr>
          </w:pPr>
          <w:hyperlink w:anchor="_Toc534292223" w:history="1">
            <w:r w:rsidR="00C507D2" w:rsidRPr="00C507D2">
              <w:rPr>
                <w:rStyle w:val="Hyperlink"/>
                <w:rFonts w:ascii="Times New Roman" w:hAnsi="Times New Roman" w:cs="Times New Roman"/>
                <w:noProof/>
              </w:rPr>
              <w:t>20. Критерии и методика за оценка на концепциите за проектни предложения:</w:t>
            </w:r>
            <w:r w:rsidR="00C507D2" w:rsidRPr="00C507D2">
              <w:rPr>
                <w:rFonts w:ascii="Times New Roman" w:hAnsi="Times New Roman" w:cs="Times New Roman"/>
                <w:noProof/>
                <w:webHidden/>
              </w:rPr>
              <w:tab/>
            </w:r>
            <w:r w:rsidR="00C507D2" w:rsidRPr="00C507D2">
              <w:rPr>
                <w:rFonts w:ascii="Times New Roman" w:hAnsi="Times New Roman" w:cs="Times New Roman"/>
                <w:noProof/>
                <w:webHidden/>
              </w:rPr>
              <w:fldChar w:fldCharType="begin"/>
            </w:r>
            <w:r w:rsidR="00C507D2" w:rsidRPr="00C507D2">
              <w:rPr>
                <w:rFonts w:ascii="Times New Roman" w:hAnsi="Times New Roman" w:cs="Times New Roman"/>
                <w:noProof/>
                <w:webHidden/>
              </w:rPr>
              <w:instrText xml:space="preserve"> PAGEREF _Toc534292223 \h </w:instrText>
            </w:r>
            <w:r w:rsidR="00C507D2" w:rsidRPr="00C507D2">
              <w:rPr>
                <w:rFonts w:ascii="Times New Roman" w:hAnsi="Times New Roman" w:cs="Times New Roman"/>
                <w:noProof/>
                <w:webHidden/>
              </w:rPr>
            </w:r>
            <w:r w:rsidR="00C507D2" w:rsidRPr="00C507D2">
              <w:rPr>
                <w:rFonts w:ascii="Times New Roman" w:hAnsi="Times New Roman" w:cs="Times New Roman"/>
                <w:noProof/>
                <w:webHidden/>
              </w:rPr>
              <w:fldChar w:fldCharType="separate"/>
            </w:r>
            <w:r w:rsidR="00C507D2" w:rsidRPr="00C507D2">
              <w:rPr>
                <w:rFonts w:ascii="Times New Roman" w:hAnsi="Times New Roman" w:cs="Times New Roman"/>
                <w:noProof/>
                <w:webHidden/>
              </w:rPr>
              <w:t>31</w:t>
            </w:r>
            <w:r w:rsidR="00C507D2" w:rsidRPr="00C507D2">
              <w:rPr>
                <w:rFonts w:ascii="Times New Roman" w:hAnsi="Times New Roman" w:cs="Times New Roman"/>
                <w:noProof/>
                <w:webHidden/>
              </w:rPr>
              <w:fldChar w:fldCharType="end"/>
            </w:r>
          </w:hyperlink>
        </w:p>
        <w:p w14:paraId="002933F9" w14:textId="77777777" w:rsidR="00C507D2" w:rsidRPr="00C507D2" w:rsidRDefault="00386BB0">
          <w:pPr>
            <w:pStyle w:val="TOC1"/>
            <w:rPr>
              <w:rFonts w:ascii="Times New Roman" w:eastAsiaTheme="minorEastAsia" w:hAnsi="Times New Roman" w:cs="Times New Roman"/>
              <w:b w:val="0"/>
              <w:bCs w:val="0"/>
              <w:noProof/>
              <w:sz w:val="22"/>
              <w:szCs w:val="22"/>
              <w:lang w:eastAsia="bg-BG"/>
            </w:rPr>
          </w:pPr>
          <w:hyperlink w:anchor="_Toc534292224" w:history="1">
            <w:r w:rsidR="00C507D2" w:rsidRPr="00C507D2">
              <w:rPr>
                <w:rStyle w:val="Hyperlink"/>
                <w:rFonts w:ascii="Times New Roman" w:hAnsi="Times New Roman" w:cs="Times New Roman"/>
                <w:noProof/>
              </w:rPr>
              <w:t>21. Ред за оценяване на проектните предложения:</w:t>
            </w:r>
            <w:r w:rsidR="00C507D2" w:rsidRPr="00C507D2">
              <w:rPr>
                <w:rFonts w:ascii="Times New Roman" w:hAnsi="Times New Roman" w:cs="Times New Roman"/>
                <w:noProof/>
                <w:webHidden/>
              </w:rPr>
              <w:tab/>
            </w:r>
            <w:r w:rsidR="00C507D2" w:rsidRPr="00C507D2">
              <w:rPr>
                <w:rFonts w:ascii="Times New Roman" w:hAnsi="Times New Roman" w:cs="Times New Roman"/>
                <w:noProof/>
                <w:webHidden/>
              </w:rPr>
              <w:fldChar w:fldCharType="begin"/>
            </w:r>
            <w:r w:rsidR="00C507D2" w:rsidRPr="00C507D2">
              <w:rPr>
                <w:rFonts w:ascii="Times New Roman" w:hAnsi="Times New Roman" w:cs="Times New Roman"/>
                <w:noProof/>
                <w:webHidden/>
              </w:rPr>
              <w:instrText xml:space="preserve"> PAGEREF _Toc534292224 \h </w:instrText>
            </w:r>
            <w:r w:rsidR="00C507D2" w:rsidRPr="00C507D2">
              <w:rPr>
                <w:rFonts w:ascii="Times New Roman" w:hAnsi="Times New Roman" w:cs="Times New Roman"/>
                <w:noProof/>
                <w:webHidden/>
              </w:rPr>
            </w:r>
            <w:r w:rsidR="00C507D2" w:rsidRPr="00C507D2">
              <w:rPr>
                <w:rFonts w:ascii="Times New Roman" w:hAnsi="Times New Roman" w:cs="Times New Roman"/>
                <w:noProof/>
                <w:webHidden/>
              </w:rPr>
              <w:fldChar w:fldCharType="separate"/>
            </w:r>
            <w:r w:rsidR="00C507D2" w:rsidRPr="00C507D2">
              <w:rPr>
                <w:rFonts w:ascii="Times New Roman" w:hAnsi="Times New Roman" w:cs="Times New Roman"/>
                <w:noProof/>
                <w:webHidden/>
              </w:rPr>
              <w:t>31</w:t>
            </w:r>
            <w:r w:rsidR="00C507D2" w:rsidRPr="00C507D2">
              <w:rPr>
                <w:rFonts w:ascii="Times New Roman" w:hAnsi="Times New Roman" w:cs="Times New Roman"/>
                <w:noProof/>
                <w:webHidden/>
              </w:rPr>
              <w:fldChar w:fldCharType="end"/>
            </w:r>
          </w:hyperlink>
        </w:p>
        <w:p w14:paraId="47BB9426" w14:textId="77777777" w:rsidR="00C507D2" w:rsidRPr="00C507D2" w:rsidRDefault="00386BB0">
          <w:pPr>
            <w:pStyle w:val="TOC2"/>
            <w:rPr>
              <w:rFonts w:ascii="Times New Roman" w:eastAsiaTheme="minorEastAsia" w:hAnsi="Times New Roman" w:cs="Times New Roman"/>
              <w:b w:val="0"/>
              <w:bCs w:val="0"/>
              <w:noProof/>
              <w:lang w:eastAsia="bg-BG"/>
            </w:rPr>
          </w:pPr>
          <w:hyperlink w:anchor="_Toc534292225" w:history="1">
            <w:r w:rsidR="00C507D2" w:rsidRPr="00C507D2">
              <w:rPr>
                <w:rStyle w:val="Hyperlink"/>
                <w:rFonts w:ascii="Times New Roman" w:hAnsi="Times New Roman" w:cs="Times New Roman"/>
                <w:noProof/>
              </w:rPr>
              <w:t>21.1. Оценка на административното съответствие и допустимост:</w:t>
            </w:r>
            <w:r w:rsidR="00C507D2" w:rsidRPr="00C507D2">
              <w:rPr>
                <w:rFonts w:ascii="Times New Roman" w:hAnsi="Times New Roman" w:cs="Times New Roman"/>
                <w:noProof/>
                <w:webHidden/>
              </w:rPr>
              <w:tab/>
            </w:r>
            <w:r w:rsidR="00C507D2" w:rsidRPr="00C507D2">
              <w:rPr>
                <w:rFonts w:ascii="Times New Roman" w:hAnsi="Times New Roman" w:cs="Times New Roman"/>
                <w:noProof/>
                <w:webHidden/>
              </w:rPr>
              <w:fldChar w:fldCharType="begin"/>
            </w:r>
            <w:r w:rsidR="00C507D2" w:rsidRPr="00C507D2">
              <w:rPr>
                <w:rFonts w:ascii="Times New Roman" w:hAnsi="Times New Roman" w:cs="Times New Roman"/>
                <w:noProof/>
                <w:webHidden/>
              </w:rPr>
              <w:instrText xml:space="preserve"> PAGEREF _Toc534292225 \h </w:instrText>
            </w:r>
            <w:r w:rsidR="00C507D2" w:rsidRPr="00C507D2">
              <w:rPr>
                <w:rFonts w:ascii="Times New Roman" w:hAnsi="Times New Roman" w:cs="Times New Roman"/>
                <w:noProof/>
                <w:webHidden/>
              </w:rPr>
            </w:r>
            <w:r w:rsidR="00C507D2" w:rsidRPr="00C507D2">
              <w:rPr>
                <w:rFonts w:ascii="Times New Roman" w:hAnsi="Times New Roman" w:cs="Times New Roman"/>
                <w:noProof/>
                <w:webHidden/>
              </w:rPr>
              <w:fldChar w:fldCharType="separate"/>
            </w:r>
            <w:r w:rsidR="00C507D2" w:rsidRPr="00C507D2">
              <w:rPr>
                <w:rFonts w:ascii="Times New Roman" w:hAnsi="Times New Roman" w:cs="Times New Roman"/>
                <w:noProof/>
                <w:webHidden/>
              </w:rPr>
              <w:t>31</w:t>
            </w:r>
            <w:r w:rsidR="00C507D2" w:rsidRPr="00C507D2">
              <w:rPr>
                <w:rFonts w:ascii="Times New Roman" w:hAnsi="Times New Roman" w:cs="Times New Roman"/>
                <w:noProof/>
                <w:webHidden/>
              </w:rPr>
              <w:fldChar w:fldCharType="end"/>
            </w:r>
          </w:hyperlink>
        </w:p>
        <w:p w14:paraId="022F5498" w14:textId="77777777" w:rsidR="00C507D2" w:rsidRPr="00C507D2" w:rsidRDefault="00386BB0">
          <w:pPr>
            <w:pStyle w:val="TOC2"/>
            <w:rPr>
              <w:rFonts w:ascii="Times New Roman" w:eastAsiaTheme="minorEastAsia" w:hAnsi="Times New Roman" w:cs="Times New Roman"/>
              <w:b w:val="0"/>
              <w:bCs w:val="0"/>
              <w:noProof/>
              <w:lang w:eastAsia="bg-BG"/>
            </w:rPr>
          </w:pPr>
          <w:hyperlink w:anchor="_Toc534292226" w:history="1">
            <w:r w:rsidR="00C507D2" w:rsidRPr="00C507D2">
              <w:rPr>
                <w:rStyle w:val="Hyperlink"/>
                <w:rFonts w:ascii="Times New Roman" w:hAnsi="Times New Roman" w:cs="Times New Roman"/>
                <w:noProof/>
              </w:rPr>
              <w:t>21.2 Техническа и финансова оценка:</w:t>
            </w:r>
            <w:r w:rsidR="00C507D2" w:rsidRPr="00C507D2">
              <w:rPr>
                <w:rFonts w:ascii="Times New Roman" w:hAnsi="Times New Roman" w:cs="Times New Roman"/>
                <w:noProof/>
                <w:webHidden/>
              </w:rPr>
              <w:tab/>
            </w:r>
            <w:r w:rsidR="00C507D2" w:rsidRPr="00C507D2">
              <w:rPr>
                <w:rFonts w:ascii="Times New Roman" w:hAnsi="Times New Roman" w:cs="Times New Roman"/>
                <w:noProof/>
                <w:webHidden/>
              </w:rPr>
              <w:fldChar w:fldCharType="begin"/>
            </w:r>
            <w:r w:rsidR="00C507D2" w:rsidRPr="00C507D2">
              <w:rPr>
                <w:rFonts w:ascii="Times New Roman" w:hAnsi="Times New Roman" w:cs="Times New Roman"/>
                <w:noProof/>
                <w:webHidden/>
              </w:rPr>
              <w:instrText xml:space="preserve"> PAGEREF _Toc534292226 \h </w:instrText>
            </w:r>
            <w:r w:rsidR="00C507D2" w:rsidRPr="00C507D2">
              <w:rPr>
                <w:rFonts w:ascii="Times New Roman" w:hAnsi="Times New Roman" w:cs="Times New Roman"/>
                <w:noProof/>
                <w:webHidden/>
              </w:rPr>
            </w:r>
            <w:r w:rsidR="00C507D2" w:rsidRPr="00C507D2">
              <w:rPr>
                <w:rFonts w:ascii="Times New Roman" w:hAnsi="Times New Roman" w:cs="Times New Roman"/>
                <w:noProof/>
                <w:webHidden/>
              </w:rPr>
              <w:fldChar w:fldCharType="separate"/>
            </w:r>
            <w:r w:rsidR="00C507D2" w:rsidRPr="00C507D2">
              <w:rPr>
                <w:rFonts w:ascii="Times New Roman" w:hAnsi="Times New Roman" w:cs="Times New Roman"/>
                <w:noProof/>
                <w:webHidden/>
              </w:rPr>
              <w:t>33</w:t>
            </w:r>
            <w:r w:rsidR="00C507D2" w:rsidRPr="00C507D2">
              <w:rPr>
                <w:rFonts w:ascii="Times New Roman" w:hAnsi="Times New Roman" w:cs="Times New Roman"/>
                <w:noProof/>
                <w:webHidden/>
              </w:rPr>
              <w:fldChar w:fldCharType="end"/>
            </w:r>
          </w:hyperlink>
        </w:p>
        <w:p w14:paraId="6CCD0476" w14:textId="77777777" w:rsidR="00C507D2" w:rsidRPr="00C507D2" w:rsidRDefault="00386BB0">
          <w:pPr>
            <w:pStyle w:val="TOC1"/>
            <w:rPr>
              <w:rFonts w:ascii="Times New Roman" w:eastAsiaTheme="minorEastAsia" w:hAnsi="Times New Roman" w:cs="Times New Roman"/>
              <w:b w:val="0"/>
              <w:bCs w:val="0"/>
              <w:noProof/>
              <w:sz w:val="22"/>
              <w:szCs w:val="22"/>
              <w:lang w:eastAsia="bg-BG"/>
            </w:rPr>
          </w:pPr>
          <w:hyperlink w:anchor="_Toc534292227" w:history="1">
            <w:r w:rsidR="00C507D2" w:rsidRPr="00C507D2">
              <w:rPr>
                <w:rStyle w:val="Hyperlink"/>
                <w:rFonts w:ascii="Times New Roman" w:hAnsi="Times New Roman" w:cs="Times New Roman"/>
                <w:noProof/>
              </w:rPr>
              <w:t>22. Критерии и методика за оценка на проектните предложения:</w:t>
            </w:r>
            <w:r w:rsidR="00C507D2" w:rsidRPr="00C507D2">
              <w:rPr>
                <w:rFonts w:ascii="Times New Roman" w:hAnsi="Times New Roman" w:cs="Times New Roman"/>
                <w:noProof/>
                <w:webHidden/>
              </w:rPr>
              <w:tab/>
            </w:r>
            <w:r w:rsidR="00C507D2" w:rsidRPr="00C507D2">
              <w:rPr>
                <w:rFonts w:ascii="Times New Roman" w:hAnsi="Times New Roman" w:cs="Times New Roman"/>
                <w:noProof/>
                <w:webHidden/>
              </w:rPr>
              <w:fldChar w:fldCharType="begin"/>
            </w:r>
            <w:r w:rsidR="00C507D2" w:rsidRPr="00C507D2">
              <w:rPr>
                <w:rFonts w:ascii="Times New Roman" w:hAnsi="Times New Roman" w:cs="Times New Roman"/>
                <w:noProof/>
                <w:webHidden/>
              </w:rPr>
              <w:instrText xml:space="preserve"> PAGEREF _Toc534292227 \h </w:instrText>
            </w:r>
            <w:r w:rsidR="00C507D2" w:rsidRPr="00C507D2">
              <w:rPr>
                <w:rFonts w:ascii="Times New Roman" w:hAnsi="Times New Roman" w:cs="Times New Roman"/>
                <w:noProof/>
                <w:webHidden/>
              </w:rPr>
            </w:r>
            <w:r w:rsidR="00C507D2" w:rsidRPr="00C507D2">
              <w:rPr>
                <w:rFonts w:ascii="Times New Roman" w:hAnsi="Times New Roman" w:cs="Times New Roman"/>
                <w:noProof/>
                <w:webHidden/>
              </w:rPr>
              <w:fldChar w:fldCharType="separate"/>
            </w:r>
            <w:r w:rsidR="00C507D2" w:rsidRPr="00C507D2">
              <w:rPr>
                <w:rFonts w:ascii="Times New Roman" w:hAnsi="Times New Roman" w:cs="Times New Roman"/>
                <w:noProof/>
                <w:webHidden/>
              </w:rPr>
              <w:t>34</w:t>
            </w:r>
            <w:r w:rsidR="00C507D2" w:rsidRPr="00C507D2">
              <w:rPr>
                <w:rFonts w:ascii="Times New Roman" w:hAnsi="Times New Roman" w:cs="Times New Roman"/>
                <w:noProof/>
                <w:webHidden/>
              </w:rPr>
              <w:fldChar w:fldCharType="end"/>
            </w:r>
          </w:hyperlink>
        </w:p>
        <w:p w14:paraId="10311A62" w14:textId="77777777" w:rsidR="00C507D2" w:rsidRPr="00C507D2" w:rsidRDefault="00386BB0">
          <w:pPr>
            <w:pStyle w:val="TOC1"/>
            <w:rPr>
              <w:rFonts w:ascii="Times New Roman" w:eastAsiaTheme="minorEastAsia" w:hAnsi="Times New Roman" w:cs="Times New Roman"/>
              <w:b w:val="0"/>
              <w:bCs w:val="0"/>
              <w:noProof/>
              <w:sz w:val="22"/>
              <w:szCs w:val="22"/>
              <w:lang w:eastAsia="bg-BG"/>
            </w:rPr>
          </w:pPr>
          <w:hyperlink w:anchor="_Toc534292228" w:history="1">
            <w:r w:rsidR="00C507D2" w:rsidRPr="00C507D2">
              <w:rPr>
                <w:rStyle w:val="Hyperlink"/>
                <w:rFonts w:ascii="Times New Roman" w:hAnsi="Times New Roman" w:cs="Times New Roman"/>
                <w:noProof/>
              </w:rPr>
              <w:t>23. Начин на подаване на проектните предложения:</w:t>
            </w:r>
            <w:r w:rsidR="00C507D2" w:rsidRPr="00C507D2">
              <w:rPr>
                <w:rFonts w:ascii="Times New Roman" w:hAnsi="Times New Roman" w:cs="Times New Roman"/>
                <w:noProof/>
                <w:webHidden/>
              </w:rPr>
              <w:tab/>
            </w:r>
            <w:r w:rsidR="00C507D2" w:rsidRPr="00C507D2">
              <w:rPr>
                <w:rFonts w:ascii="Times New Roman" w:hAnsi="Times New Roman" w:cs="Times New Roman"/>
                <w:noProof/>
                <w:webHidden/>
              </w:rPr>
              <w:fldChar w:fldCharType="begin"/>
            </w:r>
            <w:r w:rsidR="00C507D2" w:rsidRPr="00C507D2">
              <w:rPr>
                <w:rFonts w:ascii="Times New Roman" w:hAnsi="Times New Roman" w:cs="Times New Roman"/>
                <w:noProof/>
                <w:webHidden/>
              </w:rPr>
              <w:instrText xml:space="preserve"> PAGEREF _Toc534292228 \h </w:instrText>
            </w:r>
            <w:r w:rsidR="00C507D2" w:rsidRPr="00C507D2">
              <w:rPr>
                <w:rFonts w:ascii="Times New Roman" w:hAnsi="Times New Roman" w:cs="Times New Roman"/>
                <w:noProof/>
                <w:webHidden/>
              </w:rPr>
            </w:r>
            <w:r w:rsidR="00C507D2" w:rsidRPr="00C507D2">
              <w:rPr>
                <w:rFonts w:ascii="Times New Roman" w:hAnsi="Times New Roman" w:cs="Times New Roman"/>
                <w:noProof/>
                <w:webHidden/>
              </w:rPr>
              <w:fldChar w:fldCharType="separate"/>
            </w:r>
            <w:r w:rsidR="00C507D2" w:rsidRPr="00C507D2">
              <w:rPr>
                <w:rFonts w:ascii="Times New Roman" w:hAnsi="Times New Roman" w:cs="Times New Roman"/>
                <w:noProof/>
                <w:webHidden/>
              </w:rPr>
              <w:t>38</w:t>
            </w:r>
            <w:r w:rsidR="00C507D2" w:rsidRPr="00C507D2">
              <w:rPr>
                <w:rFonts w:ascii="Times New Roman" w:hAnsi="Times New Roman" w:cs="Times New Roman"/>
                <w:noProof/>
                <w:webHidden/>
              </w:rPr>
              <w:fldChar w:fldCharType="end"/>
            </w:r>
          </w:hyperlink>
        </w:p>
        <w:p w14:paraId="46CDE137" w14:textId="77777777" w:rsidR="00C507D2" w:rsidRPr="00C507D2" w:rsidRDefault="00386BB0">
          <w:pPr>
            <w:pStyle w:val="TOC1"/>
            <w:rPr>
              <w:rFonts w:ascii="Times New Roman" w:eastAsiaTheme="minorEastAsia" w:hAnsi="Times New Roman" w:cs="Times New Roman"/>
              <w:b w:val="0"/>
              <w:bCs w:val="0"/>
              <w:noProof/>
              <w:sz w:val="22"/>
              <w:szCs w:val="22"/>
              <w:lang w:eastAsia="bg-BG"/>
            </w:rPr>
          </w:pPr>
          <w:hyperlink w:anchor="_Toc534292229" w:history="1">
            <w:r w:rsidR="00C507D2" w:rsidRPr="00C507D2">
              <w:rPr>
                <w:rStyle w:val="Hyperlink"/>
                <w:rFonts w:ascii="Times New Roman" w:hAnsi="Times New Roman" w:cs="Times New Roman"/>
                <w:noProof/>
              </w:rPr>
              <w:t>24. Списък на документите, които се подават на етап кандидатстване:</w:t>
            </w:r>
            <w:r w:rsidR="00C507D2" w:rsidRPr="00C507D2">
              <w:rPr>
                <w:rFonts w:ascii="Times New Roman" w:hAnsi="Times New Roman" w:cs="Times New Roman"/>
                <w:noProof/>
                <w:webHidden/>
              </w:rPr>
              <w:tab/>
            </w:r>
            <w:r w:rsidR="00C507D2" w:rsidRPr="00C507D2">
              <w:rPr>
                <w:rFonts w:ascii="Times New Roman" w:hAnsi="Times New Roman" w:cs="Times New Roman"/>
                <w:noProof/>
                <w:webHidden/>
              </w:rPr>
              <w:fldChar w:fldCharType="begin"/>
            </w:r>
            <w:r w:rsidR="00C507D2" w:rsidRPr="00C507D2">
              <w:rPr>
                <w:rFonts w:ascii="Times New Roman" w:hAnsi="Times New Roman" w:cs="Times New Roman"/>
                <w:noProof/>
                <w:webHidden/>
              </w:rPr>
              <w:instrText xml:space="preserve"> PAGEREF _Toc534292229 \h </w:instrText>
            </w:r>
            <w:r w:rsidR="00C507D2" w:rsidRPr="00C507D2">
              <w:rPr>
                <w:rFonts w:ascii="Times New Roman" w:hAnsi="Times New Roman" w:cs="Times New Roman"/>
                <w:noProof/>
                <w:webHidden/>
              </w:rPr>
            </w:r>
            <w:r w:rsidR="00C507D2" w:rsidRPr="00C507D2">
              <w:rPr>
                <w:rFonts w:ascii="Times New Roman" w:hAnsi="Times New Roman" w:cs="Times New Roman"/>
                <w:noProof/>
                <w:webHidden/>
              </w:rPr>
              <w:fldChar w:fldCharType="separate"/>
            </w:r>
            <w:r w:rsidR="00C507D2" w:rsidRPr="00C507D2">
              <w:rPr>
                <w:rFonts w:ascii="Times New Roman" w:hAnsi="Times New Roman" w:cs="Times New Roman"/>
                <w:noProof/>
                <w:webHidden/>
              </w:rPr>
              <w:t>40</w:t>
            </w:r>
            <w:r w:rsidR="00C507D2" w:rsidRPr="00C507D2">
              <w:rPr>
                <w:rFonts w:ascii="Times New Roman" w:hAnsi="Times New Roman" w:cs="Times New Roman"/>
                <w:noProof/>
                <w:webHidden/>
              </w:rPr>
              <w:fldChar w:fldCharType="end"/>
            </w:r>
          </w:hyperlink>
        </w:p>
        <w:p w14:paraId="6345DCFC" w14:textId="77777777" w:rsidR="00C507D2" w:rsidRPr="00C507D2" w:rsidRDefault="00386BB0">
          <w:pPr>
            <w:pStyle w:val="TOC2"/>
            <w:rPr>
              <w:rFonts w:ascii="Times New Roman" w:eastAsiaTheme="minorEastAsia" w:hAnsi="Times New Roman" w:cs="Times New Roman"/>
              <w:b w:val="0"/>
              <w:bCs w:val="0"/>
              <w:noProof/>
              <w:lang w:eastAsia="bg-BG"/>
            </w:rPr>
          </w:pPr>
          <w:hyperlink w:anchor="_Toc534292230" w:history="1">
            <w:r w:rsidR="00C507D2" w:rsidRPr="00C507D2">
              <w:rPr>
                <w:rStyle w:val="Hyperlink"/>
                <w:rFonts w:ascii="Times New Roman" w:hAnsi="Times New Roman" w:cs="Times New Roman"/>
                <w:noProof/>
              </w:rPr>
              <w:t>24.1. Списък с общи документи</w:t>
            </w:r>
            <w:r w:rsidR="00C507D2" w:rsidRPr="00C507D2">
              <w:rPr>
                <w:rFonts w:ascii="Times New Roman" w:hAnsi="Times New Roman" w:cs="Times New Roman"/>
                <w:noProof/>
                <w:webHidden/>
              </w:rPr>
              <w:tab/>
            </w:r>
            <w:r w:rsidR="00C507D2" w:rsidRPr="00C507D2">
              <w:rPr>
                <w:rFonts w:ascii="Times New Roman" w:hAnsi="Times New Roman" w:cs="Times New Roman"/>
                <w:noProof/>
                <w:webHidden/>
              </w:rPr>
              <w:fldChar w:fldCharType="begin"/>
            </w:r>
            <w:r w:rsidR="00C507D2" w:rsidRPr="00C507D2">
              <w:rPr>
                <w:rFonts w:ascii="Times New Roman" w:hAnsi="Times New Roman" w:cs="Times New Roman"/>
                <w:noProof/>
                <w:webHidden/>
              </w:rPr>
              <w:instrText xml:space="preserve"> PAGEREF _Toc534292230 \h </w:instrText>
            </w:r>
            <w:r w:rsidR="00C507D2" w:rsidRPr="00C507D2">
              <w:rPr>
                <w:rFonts w:ascii="Times New Roman" w:hAnsi="Times New Roman" w:cs="Times New Roman"/>
                <w:noProof/>
                <w:webHidden/>
              </w:rPr>
            </w:r>
            <w:r w:rsidR="00C507D2" w:rsidRPr="00C507D2">
              <w:rPr>
                <w:rFonts w:ascii="Times New Roman" w:hAnsi="Times New Roman" w:cs="Times New Roman"/>
                <w:noProof/>
                <w:webHidden/>
              </w:rPr>
              <w:fldChar w:fldCharType="separate"/>
            </w:r>
            <w:r w:rsidR="00C507D2" w:rsidRPr="00C507D2">
              <w:rPr>
                <w:rFonts w:ascii="Times New Roman" w:hAnsi="Times New Roman" w:cs="Times New Roman"/>
                <w:noProof/>
                <w:webHidden/>
              </w:rPr>
              <w:t>40</w:t>
            </w:r>
            <w:r w:rsidR="00C507D2" w:rsidRPr="00C507D2">
              <w:rPr>
                <w:rFonts w:ascii="Times New Roman" w:hAnsi="Times New Roman" w:cs="Times New Roman"/>
                <w:noProof/>
                <w:webHidden/>
              </w:rPr>
              <w:fldChar w:fldCharType="end"/>
            </w:r>
          </w:hyperlink>
        </w:p>
        <w:p w14:paraId="0A3B9FDE" w14:textId="77777777" w:rsidR="00C507D2" w:rsidRPr="00C507D2" w:rsidRDefault="00386BB0">
          <w:pPr>
            <w:pStyle w:val="TOC2"/>
            <w:rPr>
              <w:rFonts w:ascii="Times New Roman" w:eastAsiaTheme="minorEastAsia" w:hAnsi="Times New Roman" w:cs="Times New Roman"/>
              <w:b w:val="0"/>
              <w:bCs w:val="0"/>
              <w:noProof/>
              <w:lang w:eastAsia="bg-BG"/>
            </w:rPr>
          </w:pPr>
          <w:hyperlink w:anchor="_Toc534292231" w:history="1">
            <w:r w:rsidR="00C507D2" w:rsidRPr="00C507D2">
              <w:rPr>
                <w:rStyle w:val="Hyperlink"/>
                <w:rFonts w:ascii="Times New Roman" w:hAnsi="Times New Roman" w:cs="Times New Roman"/>
                <w:noProof/>
              </w:rPr>
              <w:t>24.2. Специфични документи</w:t>
            </w:r>
            <w:r w:rsidR="00C507D2" w:rsidRPr="00C507D2">
              <w:rPr>
                <w:rFonts w:ascii="Times New Roman" w:hAnsi="Times New Roman" w:cs="Times New Roman"/>
                <w:noProof/>
                <w:webHidden/>
              </w:rPr>
              <w:tab/>
            </w:r>
            <w:r w:rsidR="00C507D2" w:rsidRPr="00C507D2">
              <w:rPr>
                <w:rFonts w:ascii="Times New Roman" w:hAnsi="Times New Roman" w:cs="Times New Roman"/>
                <w:noProof/>
                <w:webHidden/>
              </w:rPr>
              <w:fldChar w:fldCharType="begin"/>
            </w:r>
            <w:r w:rsidR="00C507D2" w:rsidRPr="00C507D2">
              <w:rPr>
                <w:rFonts w:ascii="Times New Roman" w:hAnsi="Times New Roman" w:cs="Times New Roman"/>
                <w:noProof/>
                <w:webHidden/>
              </w:rPr>
              <w:instrText xml:space="preserve"> PAGEREF _Toc534292231 \h </w:instrText>
            </w:r>
            <w:r w:rsidR="00C507D2" w:rsidRPr="00C507D2">
              <w:rPr>
                <w:rFonts w:ascii="Times New Roman" w:hAnsi="Times New Roman" w:cs="Times New Roman"/>
                <w:noProof/>
                <w:webHidden/>
              </w:rPr>
            </w:r>
            <w:r w:rsidR="00C507D2" w:rsidRPr="00C507D2">
              <w:rPr>
                <w:rFonts w:ascii="Times New Roman" w:hAnsi="Times New Roman" w:cs="Times New Roman"/>
                <w:noProof/>
                <w:webHidden/>
              </w:rPr>
              <w:fldChar w:fldCharType="separate"/>
            </w:r>
            <w:r w:rsidR="00C507D2" w:rsidRPr="00C507D2">
              <w:rPr>
                <w:rFonts w:ascii="Times New Roman" w:hAnsi="Times New Roman" w:cs="Times New Roman"/>
                <w:noProof/>
                <w:webHidden/>
              </w:rPr>
              <w:t>44</w:t>
            </w:r>
            <w:r w:rsidR="00C507D2" w:rsidRPr="00C507D2">
              <w:rPr>
                <w:rFonts w:ascii="Times New Roman" w:hAnsi="Times New Roman" w:cs="Times New Roman"/>
                <w:noProof/>
                <w:webHidden/>
              </w:rPr>
              <w:fldChar w:fldCharType="end"/>
            </w:r>
          </w:hyperlink>
        </w:p>
        <w:p w14:paraId="2C70C5D7" w14:textId="77777777" w:rsidR="00C507D2" w:rsidRPr="00C507D2" w:rsidRDefault="00386BB0">
          <w:pPr>
            <w:pStyle w:val="TOC2"/>
            <w:rPr>
              <w:rFonts w:ascii="Times New Roman" w:eastAsiaTheme="minorEastAsia" w:hAnsi="Times New Roman" w:cs="Times New Roman"/>
              <w:b w:val="0"/>
              <w:bCs w:val="0"/>
              <w:noProof/>
              <w:lang w:eastAsia="bg-BG"/>
            </w:rPr>
          </w:pPr>
          <w:hyperlink w:anchor="_Toc534292232" w:history="1">
            <w:r w:rsidR="00C507D2" w:rsidRPr="00C507D2">
              <w:rPr>
                <w:rStyle w:val="Hyperlink"/>
                <w:rFonts w:ascii="Times New Roman" w:hAnsi="Times New Roman" w:cs="Times New Roman"/>
                <w:noProof/>
              </w:rPr>
              <w:t>24.3.  Документи, доказващи съответствие с критериите за подбор на проекти</w:t>
            </w:r>
            <w:r w:rsidR="00C507D2" w:rsidRPr="00C507D2">
              <w:rPr>
                <w:rFonts w:ascii="Times New Roman" w:hAnsi="Times New Roman" w:cs="Times New Roman"/>
                <w:noProof/>
                <w:webHidden/>
              </w:rPr>
              <w:tab/>
            </w:r>
            <w:r w:rsidR="00C507D2" w:rsidRPr="00C507D2">
              <w:rPr>
                <w:rFonts w:ascii="Times New Roman" w:hAnsi="Times New Roman" w:cs="Times New Roman"/>
                <w:noProof/>
                <w:webHidden/>
              </w:rPr>
              <w:fldChar w:fldCharType="begin"/>
            </w:r>
            <w:r w:rsidR="00C507D2" w:rsidRPr="00C507D2">
              <w:rPr>
                <w:rFonts w:ascii="Times New Roman" w:hAnsi="Times New Roman" w:cs="Times New Roman"/>
                <w:noProof/>
                <w:webHidden/>
              </w:rPr>
              <w:instrText xml:space="preserve"> PAGEREF _Toc534292232 \h </w:instrText>
            </w:r>
            <w:r w:rsidR="00C507D2" w:rsidRPr="00C507D2">
              <w:rPr>
                <w:rFonts w:ascii="Times New Roman" w:hAnsi="Times New Roman" w:cs="Times New Roman"/>
                <w:noProof/>
                <w:webHidden/>
              </w:rPr>
            </w:r>
            <w:r w:rsidR="00C507D2" w:rsidRPr="00C507D2">
              <w:rPr>
                <w:rFonts w:ascii="Times New Roman" w:hAnsi="Times New Roman" w:cs="Times New Roman"/>
                <w:noProof/>
                <w:webHidden/>
              </w:rPr>
              <w:fldChar w:fldCharType="separate"/>
            </w:r>
            <w:r w:rsidR="00C507D2" w:rsidRPr="00C507D2">
              <w:rPr>
                <w:rFonts w:ascii="Times New Roman" w:hAnsi="Times New Roman" w:cs="Times New Roman"/>
                <w:noProof/>
                <w:webHidden/>
              </w:rPr>
              <w:t>44</w:t>
            </w:r>
            <w:r w:rsidR="00C507D2" w:rsidRPr="00C507D2">
              <w:rPr>
                <w:rFonts w:ascii="Times New Roman" w:hAnsi="Times New Roman" w:cs="Times New Roman"/>
                <w:noProof/>
                <w:webHidden/>
              </w:rPr>
              <w:fldChar w:fldCharType="end"/>
            </w:r>
          </w:hyperlink>
        </w:p>
        <w:p w14:paraId="7D6299CD" w14:textId="77777777" w:rsidR="00C507D2" w:rsidRPr="00C507D2" w:rsidRDefault="00386BB0">
          <w:pPr>
            <w:pStyle w:val="TOC1"/>
            <w:rPr>
              <w:rFonts w:ascii="Times New Roman" w:eastAsiaTheme="minorEastAsia" w:hAnsi="Times New Roman" w:cs="Times New Roman"/>
              <w:b w:val="0"/>
              <w:bCs w:val="0"/>
              <w:noProof/>
              <w:sz w:val="22"/>
              <w:szCs w:val="22"/>
              <w:lang w:eastAsia="bg-BG"/>
            </w:rPr>
          </w:pPr>
          <w:hyperlink w:anchor="_Toc534292233" w:history="1">
            <w:r w:rsidR="00C507D2" w:rsidRPr="00C507D2">
              <w:rPr>
                <w:rStyle w:val="Hyperlink"/>
                <w:rFonts w:ascii="Times New Roman" w:hAnsi="Times New Roman" w:cs="Times New Roman"/>
                <w:noProof/>
              </w:rPr>
              <w:t>25. Краен срок за подаване на проектните предложения:</w:t>
            </w:r>
            <w:r w:rsidR="00C507D2" w:rsidRPr="00C507D2">
              <w:rPr>
                <w:rFonts w:ascii="Times New Roman" w:hAnsi="Times New Roman" w:cs="Times New Roman"/>
                <w:noProof/>
                <w:webHidden/>
              </w:rPr>
              <w:tab/>
            </w:r>
            <w:r w:rsidR="00C507D2" w:rsidRPr="00C507D2">
              <w:rPr>
                <w:rFonts w:ascii="Times New Roman" w:hAnsi="Times New Roman" w:cs="Times New Roman"/>
                <w:noProof/>
                <w:webHidden/>
              </w:rPr>
              <w:fldChar w:fldCharType="begin"/>
            </w:r>
            <w:r w:rsidR="00C507D2" w:rsidRPr="00C507D2">
              <w:rPr>
                <w:rFonts w:ascii="Times New Roman" w:hAnsi="Times New Roman" w:cs="Times New Roman"/>
                <w:noProof/>
                <w:webHidden/>
              </w:rPr>
              <w:instrText xml:space="preserve"> PAGEREF _Toc534292233 \h </w:instrText>
            </w:r>
            <w:r w:rsidR="00C507D2" w:rsidRPr="00C507D2">
              <w:rPr>
                <w:rFonts w:ascii="Times New Roman" w:hAnsi="Times New Roman" w:cs="Times New Roman"/>
                <w:noProof/>
                <w:webHidden/>
              </w:rPr>
            </w:r>
            <w:r w:rsidR="00C507D2" w:rsidRPr="00C507D2">
              <w:rPr>
                <w:rFonts w:ascii="Times New Roman" w:hAnsi="Times New Roman" w:cs="Times New Roman"/>
                <w:noProof/>
                <w:webHidden/>
              </w:rPr>
              <w:fldChar w:fldCharType="separate"/>
            </w:r>
            <w:r w:rsidR="00C507D2" w:rsidRPr="00C507D2">
              <w:rPr>
                <w:rFonts w:ascii="Times New Roman" w:hAnsi="Times New Roman" w:cs="Times New Roman"/>
                <w:noProof/>
                <w:webHidden/>
              </w:rPr>
              <w:t>44</w:t>
            </w:r>
            <w:r w:rsidR="00C507D2" w:rsidRPr="00C507D2">
              <w:rPr>
                <w:rFonts w:ascii="Times New Roman" w:hAnsi="Times New Roman" w:cs="Times New Roman"/>
                <w:noProof/>
                <w:webHidden/>
              </w:rPr>
              <w:fldChar w:fldCharType="end"/>
            </w:r>
          </w:hyperlink>
        </w:p>
        <w:p w14:paraId="4AB33F5D" w14:textId="77777777" w:rsidR="00C507D2" w:rsidRPr="00C507D2" w:rsidRDefault="00386BB0">
          <w:pPr>
            <w:pStyle w:val="TOC1"/>
            <w:rPr>
              <w:rFonts w:ascii="Times New Roman" w:eastAsiaTheme="minorEastAsia" w:hAnsi="Times New Roman" w:cs="Times New Roman"/>
              <w:b w:val="0"/>
              <w:bCs w:val="0"/>
              <w:noProof/>
              <w:sz w:val="22"/>
              <w:szCs w:val="22"/>
              <w:lang w:eastAsia="bg-BG"/>
            </w:rPr>
          </w:pPr>
          <w:hyperlink w:anchor="_Toc534292234" w:history="1">
            <w:r w:rsidR="00C507D2" w:rsidRPr="00C507D2">
              <w:rPr>
                <w:rStyle w:val="Hyperlink"/>
                <w:rFonts w:ascii="Times New Roman" w:hAnsi="Times New Roman" w:cs="Times New Roman"/>
                <w:noProof/>
              </w:rPr>
              <w:t>26. Адрес за подаване на проектните предложения</w:t>
            </w:r>
            <w:r w:rsidR="00C507D2" w:rsidRPr="00C507D2">
              <w:rPr>
                <w:rFonts w:ascii="Times New Roman" w:hAnsi="Times New Roman" w:cs="Times New Roman"/>
                <w:noProof/>
                <w:webHidden/>
              </w:rPr>
              <w:tab/>
            </w:r>
            <w:r w:rsidR="00C507D2" w:rsidRPr="00C507D2">
              <w:rPr>
                <w:rFonts w:ascii="Times New Roman" w:hAnsi="Times New Roman" w:cs="Times New Roman"/>
                <w:noProof/>
                <w:webHidden/>
              </w:rPr>
              <w:fldChar w:fldCharType="begin"/>
            </w:r>
            <w:r w:rsidR="00C507D2" w:rsidRPr="00C507D2">
              <w:rPr>
                <w:rFonts w:ascii="Times New Roman" w:hAnsi="Times New Roman" w:cs="Times New Roman"/>
                <w:noProof/>
                <w:webHidden/>
              </w:rPr>
              <w:instrText xml:space="preserve"> PAGEREF _Toc534292234 \h </w:instrText>
            </w:r>
            <w:r w:rsidR="00C507D2" w:rsidRPr="00C507D2">
              <w:rPr>
                <w:rFonts w:ascii="Times New Roman" w:hAnsi="Times New Roman" w:cs="Times New Roman"/>
                <w:noProof/>
                <w:webHidden/>
              </w:rPr>
            </w:r>
            <w:r w:rsidR="00C507D2" w:rsidRPr="00C507D2">
              <w:rPr>
                <w:rFonts w:ascii="Times New Roman" w:hAnsi="Times New Roman" w:cs="Times New Roman"/>
                <w:noProof/>
                <w:webHidden/>
              </w:rPr>
              <w:fldChar w:fldCharType="separate"/>
            </w:r>
            <w:r w:rsidR="00C507D2" w:rsidRPr="00C507D2">
              <w:rPr>
                <w:rFonts w:ascii="Times New Roman" w:hAnsi="Times New Roman" w:cs="Times New Roman"/>
                <w:noProof/>
                <w:webHidden/>
              </w:rPr>
              <w:t>45</w:t>
            </w:r>
            <w:r w:rsidR="00C507D2" w:rsidRPr="00C507D2">
              <w:rPr>
                <w:rFonts w:ascii="Times New Roman" w:hAnsi="Times New Roman" w:cs="Times New Roman"/>
                <w:noProof/>
                <w:webHidden/>
              </w:rPr>
              <w:fldChar w:fldCharType="end"/>
            </w:r>
          </w:hyperlink>
        </w:p>
        <w:p w14:paraId="5992B038" w14:textId="77777777" w:rsidR="00C507D2" w:rsidRPr="00C507D2" w:rsidRDefault="00386BB0">
          <w:pPr>
            <w:pStyle w:val="TOC1"/>
            <w:rPr>
              <w:rFonts w:ascii="Times New Roman" w:eastAsiaTheme="minorEastAsia" w:hAnsi="Times New Roman" w:cs="Times New Roman"/>
              <w:b w:val="0"/>
              <w:bCs w:val="0"/>
              <w:noProof/>
              <w:sz w:val="22"/>
              <w:szCs w:val="22"/>
              <w:lang w:eastAsia="bg-BG"/>
            </w:rPr>
          </w:pPr>
          <w:hyperlink w:anchor="_Toc534292235" w:history="1">
            <w:r w:rsidR="00C507D2" w:rsidRPr="00C507D2">
              <w:rPr>
                <w:rStyle w:val="Hyperlink"/>
                <w:rFonts w:ascii="Times New Roman" w:hAnsi="Times New Roman" w:cs="Times New Roman"/>
                <w:noProof/>
              </w:rPr>
              <w:t>27. Допълнителна информация:</w:t>
            </w:r>
            <w:r w:rsidR="00C507D2" w:rsidRPr="00C507D2">
              <w:rPr>
                <w:rFonts w:ascii="Times New Roman" w:hAnsi="Times New Roman" w:cs="Times New Roman"/>
                <w:noProof/>
                <w:webHidden/>
              </w:rPr>
              <w:tab/>
            </w:r>
            <w:r w:rsidR="00C507D2" w:rsidRPr="00C507D2">
              <w:rPr>
                <w:rFonts w:ascii="Times New Roman" w:hAnsi="Times New Roman" w:cs="Times New Roman"/>
                <w:noProof/>
                <w:webHidden/>
              </w:rPr>
              <w:fldChar w:fldCharType="begin"/>
            </w:r>
            <w:r w:rsidR="00C507D2" w:rsidRPr="00C507D2">
              <w:rPr>
                <w:rFonts w:ascii="Times New Roman" w:hAnsi="Times New Roman" w:cs="Times New Roman"/>
                <w:noProof/>
                <w:webHidden/>
              </w:rPr>
              <w:instrText xml:space="preserve"> PAGEREF _Toc534292235 \h </w:instrText>
            </w:r>
            <w:r w:rsidR="00C507D2" w:rsidRPr="00C507D2">
              <w:rPr>
                <w:rFonts w:ascii="Times New Roman" w:hAnsi="Times New Roman" w:cs="Times New Roman"/>
                <w:noProof/>
                <w:webHidden/>
              </w:rPr>
            </w:r>
            <w:r w:rsidR="00C507D2" w:rsidRPr="00C507D2">
              <w:rPr>
                <w:rFonts w:ascii="Times New Roman" w:hAnsi="Times New Roman" w:cs="Times New Roman"/>
                <w:noProof/>
                <w:webHidden/>
              </w:rPr>
              <w:fldChar w:fldCharType="separate"/>
            </w:r>
            <w:r w:rsidR="00C507D2" w:rsidRPr="00C507D2">
              <w:rPr>
                <w:rFonts w:ascii="Times New Roman" w:hAnsi="Times New Roman" w:cs="Times New Roman"/>
                <w:noProof/>
                <w:webHidden/>
              </w:rPr>
              <w:t>45</w:t>
            </w:r>
            <w:r w:rsidR="00C507D2" w:rsidRPr="00C507D2">
              <w:rPr>
                <w:rFonts w:ascii="Times New Roman" w:hAnsi="Times New Roman" w:cs="Times New Roman"/>
                <w:noProof/>
                <w:webHidden/>
              </w:rPr>
              <w:fldChar w:fldCharType="end"/>
            </w:r>
          </w:hyperlink>
        </w:p>
        <w:p w14:paraId="6B7F4196" w14:textId="77777777" w:rsidR="00C507D2" w:rsidRPr="00C507D2" w:rsidRDefault="00386BB0">
          <w:pPr>
            <w:pStyle w:val="TOC2"/>
            <w:rPr>
              <w:rFonts w:ascii="Times New Roman" w:eastAsiaTheme="minorEastAsia" w:hAnsi="Times New Roman" w:cs="Times New Roman"/>
              <w:b w:val="0"/>
              <w:bCs w:val="0"/>
              <w:noProof/>
              <w:lang w:eastAsia="bg-BG"/>
            </w:rPr>
          </w:pPr>
          <w:hyperlink w:anchor="_Toc534292236" w:history="1">
            <w:r w:rsidR="00C507D2" w:rsidRPr="00C507D2">
              <w:rPr>
                <w:rStyle w:val="Hyperlink"/>
                <w:rFonts w:ascii="Times New Roman" w:hAnsi="Times New Roman" w:cs="Times New Roman"/>
                <w:noProof/>
              </w:rPr>
              <w:t>27.1. Допълнителни въпроси и разяснения във връзка с Условията за кандидатстване</w:t>
            </w:r>
            <w:r w:rsidR="00C507D2" w:rsidRPr="00C507D2">
              <w:rPr>
                <w:rFonts w:ascii="Times New Roman" w:hAnsi="Times New Roman" w:cs="Times New Roman"/>
                <w:noProof/>
                <w:webHidden/>
              </w:rPr>
              <w:tab/>
            </w:r>
            <w:r w:rsidR="00C507D2" w:rsidRPr="00C507D2">
              <w:rPr>
                <w:rFonts w:ascii="Times New Roman" w:hAnsi="Times New Roman" w:cs="Times New Roman"/>
                <w:noProof/>
                <w:webHidden/>
              </w:rPr>
              <w:fldChar w:fldCharType="begin"/>
            </w:r>
            <w:r w:rsidR="00C507D2" w:rsidRPr="00C507D2">
              <w:rPr>
                <w:rFonts w:ascii="Times New Roman" w:hAnsi="Times New Roman" w:cs="Times New Roman"/>
                <w:noProof/>
                <w:webHidden/>
              </w:rPr>
              <w:instrText xml:space="preserve"> PAGEREF _Toc534292236 \h </w:instrText>
            </w:r>
            <w:r w:rsidR="00C507D2" w:rsidRPr="00C507D2">
              <w:rPr>
                <w:rFonts w:ascii="Times New Roman" w:hAnsi="Times New Roman" w:cs="Times New Roman"/>
                <w:noProof/>
                <w:webHidden/>
              </w:rPr>
            </w:r>
            <w:r w:rsidR="00C507D2" w:rsidRPr="00C507D2">
              <w:rPr>
                <w:rFonts w:ascii="Times New Roman" w:hAnsi="Times New Roman" w:cs="Times New Roman"/>
                <w:noProof/>
                <w:webHidden/>
              </w:rPr>
              <w:fldChar w:fldCharType="separate"/>
            </w:r>
            <w:r w:rsidR="00C507D2" w:rsidRPr="00C507D2">
              <w:rPr>
                <w:rFonts w:ascii="Times New Roman" w:hAnsi="Times New Roman" w:cs="Times New Roman"/>
                <w:noProof/>
                <w:webHidden/>
              </w:rPr>
              <w:t>46</w:t>
            </w:r>
            <w:r w:rsidR="00C507D2" w:rsidRPr="00C507D2">
              <w:rPr>
                <w:rFonts w:ascii="Times New Roman" w:hAnsi="Times New Roman" w:cs="Times New Roman"/>
                <w:noProof/>
                <w:webHidden/>
              </w:rPr>
              <w:fldChar w:fldCharType="end"/>
            </w:r>
          </w:hyperlink>
        </w:p>
        <w:p w14:paraId="0C041141" w14:textId="77777777" w:rsidR="00C507D2" w:rsidRPr="00C507D2" w:rsidRDefault="00386BB0">
          <w:pPr>
            <w:pStyle w:val="TOC2"/>
            <w:rPr>
              <w:rFonts w:ascii="Times New Roman" w:eastAsiaTheme="minorEastAsia" w:hAnsi="Times New Roman" w:cs="Times New Roman"/>
              <w:b w:val="0"/>
              <w:bCs w:val="0"/>
              <w:noProof/>
              <w:lang w:eastAsia="bg-BG"/>
            </w:rPr>
          </w:pPr>
          <w:hyperlink w:anchor="_Toc534292237" w:history="1">
            <w:r w:rsidR="00C507D2" w:rsidRPr="00C507D2">
              <w:rPr>
                <w:rStyle w:val="Hyperlink"/>
                <w:rFonts w:ascii="Times New Roman" w:hAnsi="Times New Roman" w:cs="Times New Roman"/>
                <w:noProof/>
              </w:rPr>
              <w:t>27.2. Уведомяване относно предварителното решение на МИГ</w:t>
            </w:r>
            <w:r w:rsidR="00C507D2" w:rsidRPr="00C507D2">
              <w:rPr>
                <w:rFonts w:ascii="Times New Roman" w:hAnsi="Times New Roman" w:cs="Times New Roman"/>
                <w:noProof/>
                <w:webHidden/>
              </w:rPr>
              <w:tab/>
            </w:r>
            <w:r w:rsidR="00C507D2" w:rsidRPr="00C507D2">
              <w:rPr>
                <w:rFonts w:ascii="Times New Roman" w:hAnsi="Times New Roman" w:cs="Times New Roman"/>
                <w:noProof/>
                <w:webHidden/>
              </w:rPr>
              <w:fldChar w:fldCharType="begin"/>
            </w:r>
            <w:r w:rsidR="00C507D2" w:rsidRPr="00C507D2">
              <w:rPr>
                <w:rFonts w:ascii="Times New Roman" w:hAnsi="Times New Roman" w:cs="Times New Roman"/>
                <w:noProof/>
                <w:webHidden/>
              </w:rPr>
              <w:instrText xml:space="preserve"> PAGEREF _Toc534292237 \h </w:instrText>
            </w:r>
            <w:r w:rsidR="00C507D2" w:rsidRPr="00C507D2">
              <w:rPr>
                <w:rFonts w:ascii="Times New Roman" w:hAnsi="Times New Roman" w:cs="Times New Roman"/>
                <w:noProof/>
                <w:webHidden/>
              </w:rPr>
            </w:r>
            <w:r w:rsidR="00C507D2" w:rsidRPr="00C507D2">
              <w:rPr>
                <w:rFonts w:ascii="Times New Roman" w:hAnsi="Times New Roman" w:cs="Times New Roman"/>
                <w:noProof/>
                <w:webHidden/>
              </w:rPr>
              <w:fldChar w:fldCharType="separate"/>
            </w:r>
            <w:r w:rsidR="00C507D2" w:rsidRPr="00C507D2">
              <w:rPr>
                <w:rFonts w:ascii="Times New Roman" w:hAnsi="Times New Roman" w:cs="Times New Roman"/>
                <w:noProof/>
                <w:webHidden/>
              </w:rPr>
              <w:t>47</w:t>
            </w:r>
            <w:r w:rsidR="00C507D2" w:rsidRPr="00C507D2">
              <w:rPr>
                <w:rFonts w:ascii="Times New Roman" w:hAnsi="Times New Roman" w:cs="Times New Roman"/>
                <w:noProof/>
                <w:webHidden/>
              </w:rPr>
              <w:fldChar w:fldCharType="end"/>
            </w:r>
          </w:hyperlink>
        </w:p>
        <w:p w14:paraId="1316A489" w14:textId="77777777" w:rsidR="00C507D2" w:rsidRPr="00C507D2" w:rsidRDefault="00386BB0">
          <w:pPr>
            <w:pStyle w:val="TOC2"/>
            <w:rPr>
              <w:rFonts w:ascii="Times New Roman" w:eastAsiaTheme="minorEastAsia" w:hAnsi="Times New Roman" w:cs="Times New Roman"/>
              <w:b w:val="0"/>
              <w:bCs w:val="0"/>
              <w:noProof/>
              <w:lang w:eastAsia="bg-BG"/>
            </w:rPr>
          </w:pPr>
          <w:hyperlink w:anchor="_Toc534292238" w:history="1">
            <w:r w:rsidR="00C507D2" w:rsidRPr="00C507D2">
              <w:rPr>
                <w:rStyle w:val="Hyperlink"/>
                <w:rFonts w:ascii="Times New Roman" w:hAnsi="Times New Roman" w:cs="Times New Roman"/>
                <w:noProof/>
              </w:rPr>
              <w:t>27.3. Процедура за възражения относно оценката</w:t>
            </w:r>
            <w:r w:rsidR="00C507D2" w:rsidRPr="00C507D2">
              <w:rPr>
                <w:rFonts w:ascii="Times New Roman" w:hAnsi="Times New Roman" w:cs="Times New Roman"/>
                <w:noProof/>
                <w:webHidden/>
              </w:rPr>
              <w:tab/>
            </w:r>
            <w:r w:rsidR="00C507D2" w:rsidRPr="00C507D2">
              <w:rPr>
                <w:rFonts w:ascii="Times New Roman" w:hAnsi="Times New Roman" w:cs="Times New Roman"/>
                <w:noProof/>
                <w:webHidden/>
              </w:rPr>
              <w:fldChar w:fldCharType="begin"/>
            </w:r>
            <w:r w:rsidR="00C507D2" w:rsidRPr="00C507D2">
              <w:rPr>
                <w:rFonts w:ascii="Times New Roman" w:hAnsi="Times New Roman" w:cs="Times New Roman"/>
                <w:noProof/>
                <w:webHidden/>
              </w:rPr>
              <w:instrText xml:space="preserve"> PAGEREF _Toc534292238 \h </w:instrText>
            </w:r>
            <w:r w:rsidR="00C507D2" w:rsidRPr="00C507D2">
              <w:rPr>
                <w:rFonts w:ascii="Times New Roman" w:hAnsi="Times New Roman" w:cs="Times New Roman"/>
                <w:noProof/>
                <w:webHidden/>
              </w:rPr>
            </w:r>
            <w:r w:rsidR="00C507D2" w:rsidRPr="00C507D2">
              <w:rPr>
                <w:rFonts w:ascii="Times New Roman" w:hAnsi="Times New Roman" w:cs="Times New Roman"/>
                <w:noProof/>
                <w:webHidden/>
              </w:rPr>
              <w:fldChar w:fldCharType="separate"/>
            </w:r>
            <w:r w:rsidR="00C507D2" w:rsidRPr="00C507D2">
              <w:rPr>
                <w:rFonts w:ascii="Times New Roman" w:hAnsi="Times New Roman" w:cs="Times New Roman"/>
                <w:noProof/>
                <w:webHidden/>
              </w:rPr>
              <w:t>47</w:t>
            </w:r>
            <w:r w:rsidR="00C507D2" w:rsidRPr="00C507D2">
              <w:rPr>
                <w:rFonts w:ascii="Times New Roman" w:hAnsi="Times New Roman" w:cs="Times New Roman"/>
                <w:noProof/>
                <w:webHidden/>
              </w:rPr>
              <w:fldChar w:fldCharType="end"/>
            </w:r>
          </w:hyperlink>
        </w:p>
        <w:p w14:paraId="66B2DEE7" w14:textId="77777777" w:rsidR="00C507D2" w:rsidRPr="00C507D2" w:rsidRDefault="00386BB0">
          <w:pPr>
            <w:pStyle w:val="TOC1"/>
            <w:rPr>
              <w:rFonts w:ascii="Times New Roman" w:eastAsiaTheme="minorEastAsia" w:hAnsi="Times New Roman" w:cs="Times New Roman"/>
              <w:b w:val="0"/>
              <w:bCs w:val="0"/>
              <w:noProof/>
              <w:sz w:val="22"/>
              <w:szCs w:val="22"/>
              <w:lang w:eastAsia="bg-BG"/>
            </w:rPr>
          </w:pPr>
          <w:hyperlink w:anchor="_Toc534292239" w:history="1">
            <w:r w:rsidR="00C507D2" w:rsidRPr="00C507D2">
              <w:rPr>
                <w:rStyle w:val="Hyperlink"/>
                <w:rFonts w:ascii="Times New Roman" w:hAnsi="Times New Roman" w:cs="Times New Roman"/>
                <w:noProof/>
              </w:rPr>
              <w:t>28. Приложения към Условията за кандидатстване:</w:t>
            </w:r>
            <w:r w:rsidR="00C507D2" w:rsidRPr="00C507D2">
              <w:rPr>
                <w:rFonts w:ascii="Times New Roman" w:hAnsi="Times New Roman" w:cs="Times New Roman"/>
                <w:noProof/>
                <w:webHidden/>
              </w:rPr>
              <w:tab/>
            </w:r>
            <w:r w:rsidR="00C507D2" w:rsidRPr="00C507D2">
              <w:rPr>
                <w:rFonts w:ascii="Times New Roman" w:hAnsi="Times New Roman" w:cs="Times New Roman"/>
                <w:noProof/>
                <w:webHidden/>
              </w:rPr>
              <w:fldChar w:fldCharType="begin"/>
            </w:r>
            <w:r w:rsidR="00C507D2" w:rsidRPr="00C507D2">
              <w:rPr>
                <w:rFonts w:ascii="Times New Roman" w:hAnsi="Times New Roman" w:cs="Times New Roman"/>
                <w:noProof/>
                <w:webHidden/>
              </w:rPr>
              <w:instrText xml:space="preserve"> PAGEREF _Toc534292239 \h </w:instrText>
            </w:r>
            <w:r w:rsidR="00C507D2" w:rsidRPr="00C507D2">
              <w:rPr>
                <w:rFonts w:ascii="Times New Roman" w:hAnsi="Times New Roman" w:cs="Times New Roman"/>
                <w:noProof/>
                <w:webHidden/>
              </w:rPr>
            </w:r>
            <w:r w:rsidR="00C507D2" w:rsidRPr="00C507D2">
              <w:rPr>
                <w:rFonts w:ascii="Times New Roman" w:hAnsi="Times New Roman" w:cs="Times New Roman"/>
                <w:noProof/>
                <w:webHidden/>
              </w:rPr>
              <w:fldChar w:fldCharType="separate"/>
            </w:r>
            <w:r w:rsidR="00C507D2" w:rsidRPr="00C507D2">
              <w:rPr>
                <w:rFonts w:ascii="Times New Roman" w:hAnsi="Times New Roman" w:cs="Times New Roman"/>
                <w:noProof/>
                <w:webHidden/>
              </w:rPr>
              <w:t>47</w:t>
            </w:r>
            <w:r w:rsidR="00C507D2" w:rsidRPr="00C507D2">
              <w:rPr>
                <w:rFonts w:ascii="Times New Roman" w:hAnsi="Times New Roman" w:cs="Times New Roman"/>
                <w:noProof/>
                <w:webHidden/>
              </w:rPr>
              <w:fldChar w:fldCharType="end"/>
            </w:r>
          </w:hyperlink>
        </w:p>
        <w:p w14:paraId="46A23674" w14:textId="77777777" w:rsidR="0035525C" w:rsidRPr="00C507D2" w:rsidRDefault="0035525C">
          <w:pPr>
            <w:rPr>
              <w:rFonts w:ascii="Times New Roman" w:hAnsi="Times New Roman" w:cs="Times New Roman"/>
              <w:sz w:val="24"/>
              <w:szCs w:val="24"/>
            </w:rPr>
          </w:pPr>
          <w:r w:rsidRPr="00C507D2">
            <w:rPr>
              <w:rFonts w:ascii="Times New Roman" w:hAnsi="Times New Roman" w:cs="Times New Roman"/>
              <w:b/>
              <w:bCs/>
              <w:sz w:val="24"/>
              <w:szCs w:val="24"/>
            </w:rPr>
            <w:fldChar w:fldCharType="end"/>
          </w:r>
        </w:p>
      </w:sdtContent>
    </w:sdt>
    <w:p w14:paraId="580FD389" w14:textId="77777777" w:rsidR="00681629" w:rsidRPr="00C507D2" w:rsidRDefault="00681629">
      <w:pPr>
        <w:rPr>
          <w:rFonts w:ascii="Times New Roman" w:hAnsi="Times New Roman" w:cs="Times New Roman"/>
          <w:b/>
          <w:sz w:val="24"/>
          <w:szCs w:val="24"/>
        </w:rPr>
      </w:pPr>
    </w:p>
    <w:p w14:paraId="72330EFA" w14:textId="77777777" w:rsidR="007F5391" w:rsidRPr="002F65FC" w:rsidRDefault="007F5391">
      <w:pPr>
        <w:rPr>
          <w:rFonts w:ascii="Times New Roman" w:hAnsi="Times New Roman" w:cs="Times New Roman"/>
          <w:b/>
          <w:sz w:val="24"/>
          <w:szCs w:val="24"/>
        </w:rPr>
      </w:pPr>
    </w:p>
    <w:p w14:paraId="1BD26B8B" w14:textId="77777777" w:rsidR="00F83E7C" w:rsidRDefault="007F5391" w:rsidP="00355CDE">
      <w:pPr>
        <w:pStyle w:val="Guidelines1"/>
      </w:pPr>
      <w:r w:rsidRPr="007713C1">
        <w:lastRenderedPageBreak/>
        <w:t>ОБЯСНИТЕЛНИ БЕЛЕЖКИ</w:t>
      </w:r>
    </w:p>
    <w:tbl>
      <w:tblPr>
        <w:tblStyle w:val="1"/>
        <w:tblW w:w="0" w:type="auto"/>
        <w:tblLook w:val="04A0" w:firstRow="1" w:lastRow="0" w:firstColumn="1" w:lastColumn="0" w:noHBand="0" w:noVBand="1"/>
      </w:tblPr>
      <w:tblGrid>
        <w:gridCol w:w="2235"/>
        <w:gridCol w:w="6977"/>
      </w:tblGrid>
      <w:tr w:rsidR="00F83E7C" w:rsidRPr="00AC0FA4" w14:paraId="129654EC" w14:textId="77777777" w:rsidTr="00A634FD">
        <w:tc>
          <w:tcPr>
            <w:tcW w:w="2235" w:type="dxa"/>
          </w:tcPr>
          <w:p w14:paraId="7274791A" w14:textId="77777777" w:rsidR="00F83E7C" w:rsidRPr="00AC0FA4" w:rsidRDefault="00F83E7C" w:rsidP="00A634FD">
            <w:pPr>
              <w:jc w:val="both"/>
              <w:rPr>
                <w:rFonts w:ascii="Times New Roman" w:hAnsi="Times New Roman" w:cs="Times New Roman"/>
                <w:b/>
              </w:rPr>
            </w:pPr>
            <w:r w:rsidRPr="00AC0FA4">
              <w:rPr>
                <w:rFonts w:ascii="Times New Roman" w:hAnsi="Times New Roman" w:cs="Times New Roman"/>
                <w:b/>
                <w:color w:val="000000"/>
              </w:rPr>
              <w:t>Авансово плащане</w:t>
            </w:r>
          </w:p>
        </w:tc>
        <w:tc>
          <w:tcPr>
            <w:tcW w:w="6977" w:type="dxa"/>
          </w:tcPr>
          <w:p w14:paraId="7956D0D4" w14:textId="77777777" w:rsidR="00F83E7C" w:rsidRPr="00AC0FA4" w:rsidRDefault="00F83E7C" w:rsidP="00A634FD">
            <w:pPr>
              <w:jc w:val="both"/>
              <w:rPr>
                <w:rFonts w:ascii="Times New Roman" w:hAnsi="Times New Roman" w:cs="Times New Roman"/>
              </w:rPr>
            </w:pPr>
            <w:r w:rsidRPr="00AC0FA4">
              <w:rPr>
                <w:rFonts w:ascii="Times New Roman" w:hAnsi="Times New Roman" w:cs="Times New Roman"/>
              </w:rPr>
              <w:t xml:space="preserve">Плащане по смисъла на </w:t>
            </w:r>
            <w:hyperlink r:id="rId8" w:history="1">
              <w:r w:rsidRPr="00AC0FA4">
                <w:rPr>
                  <w:rFonts w:ascii="Times New Roman" w:hAnsi="Times New Roman" w:cs="Times New Roman"/>
                  <w:color w:val="000000"/>
                </w:rPr>
                <w:t>чл. 63 от Регламент (ЕС) № 1305/2013</w:t>
              </w:r>
            </w:hyperlink>
            <w:r w:rsidRPr="00AC0FA4">
              <w:rPr>
                <w:rFonts w:ascii="Times New Roman" w:hAnsi="Times New Roman" w:cs="Times New Roman"/>
              </w:rPr>
              <w:t xml:space="preserve"> на Европейския парламент и на Съвета от 17 декември 2013 г. относно подпомагане на развитието на селските райони от Европейския земеделски фонд за развитие на селските райони (ЕЗФРСР) и за отмяна на </w:t>
            </w:r>
            <w:hyperlink r:id="rId9" w:history="1">
              <w:r w:rsidRPr="00AC0FA4">
                <w:rPr>
                  <w:rFonts w:ascii="Times New Roman" w:hAnsi="Times New Roman" w:cs="Times New Roman"/>
                  <w:color w:val="000000"/>
                </w:rPr>
                <w:t>Регламент (ЕО) № 1698/2005</w:t>
              </w:r>
            </w:hyperlink>
            <w:r w:rsidRPr="00AC0FA4">
              <w:rPr>
                <w:rFonts w:ascii="Times New Roman" w:hAnsi="Times New Roman" w:cs="Times New Roman"/>
              </w:rPr>
              <w:t xml:space="preserve"> на Съвета (ОВ, L 347/487 от 20 декември 2013 г.)</w:t>
            </w:r>
          </w:p>
        </w:tc>
      </w:tr>
      <w:tr w:rsidR="00F83E7C" w:rsidRPr="00AC0FA4" w14:paraId="63EDCEC6" w14:textId="77777777" w:rsidTr="00A634FD">
        <w:tc>
          <w:tcPr>
            <w:tcW w:w="2235" w:type="dxa"/>
          </w:tcPr>
          <w:p w14:paraId="2C44979C" w14:textId="77777777" w:rsidR="00F83E7C" w:rsidRPr="00AC0FA4" w:rsidRDefault="00F83E7C" w:rsidP="00A634FD">
            <w:pPr>
              <w:jc w:val="both"/>
              <w:rPr>
                <w:rFonts w:ascii="Times New Roman" w:hAnsi="Times New Roman" w:cs="Times New Roman"/>
                <w:b/>
              </w:rPr>
            </w:pPr>
            <w:r w:rsidRPr="00AC0FA4">
              <w:rPr>
                <w:rFonts w:ascii="Times New Roman" w:hAnsi="Times New Roman" w:cs="Times New Roman"/>
                <w:b/>
                <w:shd w:val="clear" w:color="auto" w:fill="FEFEFE"/>
              </w:rPr>
              <w:t>Административен договор</w:t>
            </w:r>
          </w:p>
        </w:tc>
        <w:tc>
          <w:tcPr>
            <w:tcW w:w="6977" w:type="dxa"/>
          </w:tcPr>
          <w:p w14:paraId="5E790626" w14:textId="77777777" w:rsidR="00F83E7C" w:rsidRPr="00AC0FA4" w:rsidRDefault="00F83E7C" w:rsidP="00A634FD">
            <w:pPr>
              <w:jc w:val="both"/>
              <w:rPr>
                <w:rFonts w:ascii="Times New Roman" w:hAnsi="Times New Roman" w:cs="Times New Roman"/>
              </w:rPr>
            </w:pPr>
            <w:r w:rsidRPr="00AC0FA4">
              <w:rPr>
                <w:rFonts w:ascii="Times New Roman" w:hAnsi="Times New Roman" w:cs="Times New Roman"/>
                <w:shd w:val="clear" w:color="auto" w:fill="FEFEFE"/>
              </w:rPr>
              <w:t xml:space="preserve">Договор по смисъла на § 1, т. 1 от допълнителните разпоредби на </w:t>
            </w:r>
            <w:r w:rsidRPr="00AC0FA4">
              <w:rPr>
                <w:rFonts w:ascii="Times New Roman" w:hAnsi="Times New Roman" w:cs="Times New Roman"/>
                <w:shd w:val="clear" w:color="auto" w:fill="FEFEFE"/>
                <w:lang w:eastAsia="bg-BG"/>
              </w:rPr>
              <w:t>Закона за управление на средствата от европейските структурни и инвестиционни фондове</w:t>
            </w:r>
            <w:r w:rsidRPr="00AC0FA4">
              <w:rPr>
                <w:rFonts w:ascii="Times New Roman" w:hAnsi="Times New Roman" w:cs="Times New Roman"/>
                <w:shd w:val="clear" w:color="auto" w:fill="FEFEFE"/>
              </w:rPr>
              <w:t>, който съдържа изрично волеизявление на изпълнителният директор на РА за предоставяне на безвъзмездна финансова помощ със средства по ПРСР 2014 – 2020 г.</w:t>
            </w:r>
          </w:p>
        </w:tc>
      </w:tr>
      <w:tr w:rsidR="00F83E7C" w:rsidRPr="00AC0FA4" w14:paraId="63EA1D00" w14:textId="77777777" w:rsidTr="00A634FD">
        <w:tc>
          <w:tcPr>
            <w:tcW w:w="2235" w:type="dxa"/>
          </w:tcPr>
          <w:p w14:paraId="35225C25" w14:textId="77777777" w:rsidR="00F83E7C" w:rsidRPr="00AC0FA4" w:rsidRDefault="00F83E7C" w:rsidP="00A634FD">
            <w:pPr>
              <w:jc w:val="both"/>
              <w:rPr>
                <w:rFonts w:ascii="Times New Roman" w:hAnsi="Times New Roman" w:cs="Times New Roman"/>
                <w:b/>
              </w:rPr>
            </w:pPr>
            <w:r w:rsidRPr="00AC0FA4">
              <w:rPr>
                <w:rFonts w:ascii="Times New Roman" w:hAnsi="Times New Roman" w:cs="Times New Roman"/>
                <w:b/>
                <w:color w:val="000000"/>
              </w:rPr>
              <w:t>Административни проверки</w:t>
            </w:r>
          </w:p>
        </w:tc>
        <w:tc>
          <w:tcPr>
            <w:tcW w:w="6977" w:type="dxa"/>
          </w:tcPr>
          <w:p w14:paraId="0235C599" w14:textId="77777777" w:rsidR="00F83E7C" w:rsidRPr="00AC0FA4" w:rsidRDefault="00F83E7C" w:rsidP="00A634FD">
            <w:pPr>
              <w:jc w:val="both"/>
              <w:rPr>
                <w:rFonts w:ascii="Times New Roman" w:hAnsi="Times New Roman" w:cs="Times New Roman"/>
              </w:rPr>
            </w:pPr>
            <w:r>
              <w:rPr>
                <w:rFonts w:ascii="Times New Roman" w:hAnsi="Times New Roman" w:cs="Times New Roman"/>
              </w:rPr>
              <w:t>П</w:t>
            </w:r>
            <w:r w:rsidRPr="00AC0FA4">
              <w:rPr>
                <w:rFonts w:ascii="Times New Roman" w:hAnsi="Times New Roman" w:cs="Times New Roman"/>
              </w:rPr>
              <w:t xml:space="preserve">роверки съгласно условията и разпоредбите на </w:t>
            </w:r>
            <w:hyperlink r:id="rId10" w:history="1">
              <w:r w:rsidRPr="00AC0FA4">
                <w:rPr>
                  <w:rFonts w:ascii="Times New Roman" w:hAnsi="Times New Roman" w:cs="Times New Roman"/>
                  <w:color w:val="000000"/>
                </w:rPr>
                <w:t>чл. 48 от Регламент за изпълнение (ЕС) № 809/2014</w:t>
              </w:r>
              <w:r w:rsidRPr="00AC0FA4">
                <w:rPr>
                  <w:rFonts w:ascii="Times New Roman" w:hAnsi="Times New Roman" w:cs="Times New Roman"/>
                </w:rPr>
                <w:t xml:space="preserve"> на Комисията от 17 юли 2014 г. за определяне на правила за прилагането на </w:t>
              </w:r>
              <w:hyperlink r:id="rId11" w:history="1">
                <w:r w:rsidRPr="00AC0FA4">
                  <w:rPr>
                    <w:rFonts w:ascii="Times New Roman" w:hAnsi="Times New Roman" w:cs="Times New Roman"/>
                    <w:color w:val="000000"/>
                  </w:rPr>
                  <w:t>Регламент (ЕС) № 1306/2013</w:t>
                </w:r>
              </w:hyperlink>
              <w:r w:rsidRPr="00AC0FA4">
                <w:rPr>
                  <w:rFonts w:ascii="Times New Roman" w:hAnsi="Times New Roman" w:cs="Times New Roman"/>
                </w:rPr>
                <w:t xml:space="preserve"> на Европейския парламент и на Съвета по отношение на интегрираната система за администриране и контрол, мерките за развитие на селските райони и кръстосаното съответствие (ОВ, L 227/69 от 31 юли 2014 г.)</w:t>
              </w:r>
              <w:r w:rsidRPr="00AC0FA4">
                <w:rPr>
                  <w:rFonts w:ascii="Times New Roman" w:hAnsi="Times New Roman" w:cs="Times New Roman"/>
                  <w:color w:val="000000"/>
                </w:rPr>
                <w:t>.</w:t>
              </w:r>
            </w:hyperlink>
          </w:p>
        </w:tc>
      </w:tr>
      <w:tr w:rsidR="00F83E7C" w:rsidRPr="00AC0FA4" w14:paraId="5E2B6E5A" w14:textId="77777777" w:rsidTr="00A634FD">
        <w:tc>
          <w:tcPr>
            <w:tcW w:w="2235" w:type="dxa"/>
          </w:tcPr>
          <w:p w14:paraId="10D028D7" w14:textId="4B7D3FD0" w:rsidR="00F83E7C" w:rsidRPr="00AC0FA4" w:rsidRDefault="00F83E7C" w:rsidP="00F83E7C">
            <w:pPr>
              <w:jc w:val="both"/>
              <w:rPr>
                <w:rFonts w:ascii="Times New Roman" w:hAnsi="Times New Roman" w:cs="Times New Roman"/>
                <w:b/>
                <w:color w:val="000000"/>
              </w:rPr>
            </w:pPr>
            <w:r w:rsidRPr="007713C1">
              <w:rPr>
                <w:rFonts w:ascii="Times New Roman" w:hAnsi="Times New Roman" w:cs="Times New Roman"/>
                <w:b/>
              </w:rPr>
              <w:t>Бенефициент (Бенефициер) на безвъзмездна финансова помощ</w:t>
            </w:r>
          </w:p>
        </w:tc>
        <w:tc>
          <w:tcPr>
            <w:tcW w:w="6977" w:type="dxa"/>
          </w:tcPr>
          <w:p w14:paraId="1CBB72AF" w14:textId="1F05F272" w:rsidR="00F83E7C" w:rsidRDefault="00F83E7C" w:rsidP="00F83E7C">
            <w:pPr>
              <w:jc w:val="both"/>
              <w:rPr>
                <w:rFonts w:ascii="Times New Roman" w:hAnsi="Times New Roman" w:cs="Times New Roman"/>
              </w:rPr>
            </w:pPr>
            <w:r w:rsidRPr="007713C1">
              <w:rPr>
                <w:rFonts w:ascii="Times New Roman" w:hAnsi="Times New Roman"/>
              </w:rPr>
              <w:t>Лицата, посочени в чл.2, ал. 10 от Регламент (ЕО) No</w:t>
            </w:r>
            <w:r w:rsidRPr="00FD78FC">
              <w:rPr>
                <w:rFonts w:ascii="Times New Roman" w:hAnsi="Times New Roman"/>
              </w:rPr>
              <w:t xml:space="preserve"> </w:t>
            </w:r>
            <w:r w:rsidRPr="007713C1">
              <w:rPr>
                <w:rFonts w:ascii="Times New Roman" w:hAnsi="Times New Roman"/>
              </w:rPr>
              <w:t xml:space="preserve">1303/2013 - публична или частна организация, които отговарят за започването или за започването и изпълнението на операции; и в контекста на схемите за държавни помощи, съгласно чл. 107, параграф 1 от ДФЕС – организация, която получава помощта; </w:t>
            </w:r>
          </w:p>
        </w:tc>
      </w:tr>
      <w:tr w:rsidR="00F83E7C" w:rsidRPr="00AC0FA4" w14:paraId="120C84B3" w14:textId="77777777" w:rsidTr="00A634FD">
        <w:tc>
          <w:tcPr>
            <w:tcW w:w="2235" w:type="dxa"/>
          </w:tcPr>
          <w:p w14:paraId="7121E27B" w14:textId="4232B7C3" w:rsidR="00F83E7C" w:rsidRPr="00AC0FA4" w:rsidRDefault="00F83E7C" w:rsidP="00F83E7C">
            <w:pPr>
              <w:jc w:val="both"/>
              <w:rPr>
                <w:rFonts w:ascii="Times New Roman" w:hAnsi="Times New Roman" w:cs="Times New Roman"/>
                <w:b/>
                <w:color w:val="000000"/>
              </w:rPr>
            </w:pPr>
            <w:r w:rsidRPr="007713C1">
              <w:rPr>
                <w:rFonts w:ascii="Times New Roman" w:hAnsi="Times New Roman" w:cs="Times New Roman"/>
                <w:b/>
              </w:rPr>
              <w:t>Безвъзмездна финансова помощ</w:t>
            </w:r>
          </w:p>
        </w:tc>
        <w:tc>
          <w:tcPr>
            <w:tcW w:w="6977" w:type="dxa"/>
          </w:tcPr>
          <w:p w14:paraId="3BFA72A2" w14:textId="2EC07E18" w:rsidR="00F83E7C" w:rsidRDefault="00F83E7C" w:rsidP="00F83E7C">
            <w:pPr>
              <w:jc w:val="both"/>
              <w:rPr>
                <w:rFonts w:ascii="Times New Roman" w:hAnsi="Times New Roman" w:cs="Times New Roman"/>
              </w:rPr>
            </w:pPr>
            <w:r w:rsidRPr="007713C1">
              <w:rPr>
                <w:rFonts w:ascii="Times New Roman" w:hAnsi="Times New Roman" w:cs="Times New Roman"/>
              </w:rPr>
              <w:t>Без това да противоречи на чл. 121 от Регламент (EO, Евроатом)</w:t>
            </w:r>
            <w:r w:rsidRPr="00FD78FC">
              <w:rPr>
                <w:rFonts w:ascii="Times New Roman" w:hAnsi="Times New Roman" w:cs="Times New Roman"/>
              </w:rPr>
              <w:t xml:space="preserve"> </w:t>
            </w:r>
            <w:r w:rsidRPr="007713C1">
              <w:rPr>
                <w:rFonts w:ascii="Times New Roman" w:hAnsi="Times New Roman" w:cs="Times New Roman"/>
              </w:rPr>
              <w:t>No</w:t>
            </w:r>
            <w:r w:rsidRPr="00FD78FC">
              <w:rPr>
                <w:rFonts w:ascii="Times New Roman" w:hAnsi="Times New Roman" w:cs="Times New Roman"/>
              </w:rPr>
              <w:t xml:space="preserve"> 966/2012, </w:t>
            </w:r>
            <w:r w:rsidRPr="007713C1">
              <w:rPr>
                <w:rFonts w:ascii="Times New Roman" w:hAnsi="Times New Roman" w:cs="Times New Roman"/>
              </w:rPr>
              <w:t xml:space="preserve">са средства, предоставени от </w:t>
            </w:r>
            <w:r>
              <w:rPr>
                <w:rFonts w:ascii="Times New Roman" w:hAnsi="Times New Roman" w:cs="Times New Roman"/>
              </w:rPr>
              <w:t>ПРСР</w:t>
            </w:r>
            <w:r w:rsidRPr="007713C1">
              <w:rPr>
                <w:rFonts w:ascii="Times New Roman" w:hAnsi="Times New Roman" w:cs="Times New Roman"/>
                <w:noProof/>
              </w:rPr>
              <w:t>, включително съответното национално съфинансиране, с цел изпълнението на одобрен проект, насочен към постигане на определени цели.</w:t>
            </w:r>
          </w:p>
        </w:tc>
      </w:tr>
      <w:tr w:rsidR="00F83E7C" w:rsidRPr="00AC0FA4" w14:paraId="1BE75D37" w14:textId="77777777" w:rsidTr="00A634FD">
        <w:tc>
          <w:tcPr>
            <w:tcW w:w="2235" w:type="dxa"/>
          </w:tcPr>
          <w:p w14:paraId="27677F77" w14:textId="77777777" w:rsidR="00F83E7C" w:rsidRPr="00AC0FA4" w:rsidRDefault="00F83E7C" w:rsidP="00F83E7C">
            <w:pPr>
              <w:jc w:val="both"/>
              <w:rPr>
                <w:rFonts w:ascii="Times New Roman" w:hAnsi="Times New Roman" w:cs="Times New Roman"/>
                <w:b/>
              </w:rPr>
            </w:pPr>
            <w:r w:rsidRPr="00AC0FA4">
              <w:rPr>
                <w:rFonts w:ascii="Times New Roman" w:hAnsi="Times New Roman" w:cs="Times New Roman"/>
                <w:b/>
                <w:color w:val="000000"/>
              </w:rPr>
              <w:t>Дейност</w:t>
            </w:r>
          </w:p>
        </w:tc>
        <w:tc>
          <w:tcPr>
            <w:tcW w:w="6977" w:type="dxa"/>
          </w:tcPr>
          <w:p w14:paraId="4891C961" w14:textId="77777777" w:rsidR="00F83E7C" w:rsidRPr="00AC0FA4" w:rsidRDefault="00F83E7C" w:rsidP="00F83E7C">
            <w:pPr>
              <w:jc w:val="both"/>
              <w:rPr>
                <w:rFonts w:ascii="Times New Roman" w:hAnsi="Times New Roman" w:cs="Times New Roman"/>
              </w:rPr>
            </w:pPr>
            <w:r w:rsidRPr="00AC0FA4">
              <w:rPr>
                <w:rFonts w:ascii="Times New Roman" w:hAnsi="Times New Roman" w:cs="Times New Roman"/>
              </w:rPr>
              <w:t>Проект, договор, споразумение или друг механизъм, избран съгласно заложените в ПРСР 2014 – 2020 г. критерии, предвид постигането на поставените цели в ПРСР 2014 – 2020 г.</w:t>
            </w:r>
          </w:p>
        </w:tc>
      </w:tr>
      <w:tr w:rsidR="00F83E7C" w:rsidRPr="00AC0FA4" w14:paraId="26B85F06" w14:textId="77777777" w:rsidTr="00A634FD">
        <w:tc>
          <w:tcPr>
            <w:tcW w:w="2235" w:type="dxa"/>
          </w:tcPr>
          <w:p w14:paraId="0AE1CE80" w14:textId="7D11BDDC" w:rsidR="00F83E7C" w:rsidRPr="00AC0FA4" w:rsidRDefault="00F83E7C" w:rsidP="00F83E7C">
            <w:pPr>
              <w:jc w:val="both"/>
              <w:rPr>
                <w:rFonts w:ascii="Times New Roman" w:hAnsi="Times New Roman" w:cs="Times New Roman"/>
                <w:b/>
                <w:color w:val="000000"/>
              </w:rPr>
            </w:pPr>
            <w:r w:rsidRPr="00F31C31">
              <w:rPr>
                <w:rFonts w:ascii="Times New Roman" w:hAnsi="Times New Roman" w:cs="Times New Roman"/>
                <w:b/>
              </w:rPr>
              <w:t>Държавна помощ</w:t>
            </w:r>
          </w:p>
        </w:tc>
        <w:tc>
          <w:tcPr>
            <w:tcW w:w="6977" w:type="dxa"/>
          </w:tcPr>
          <w:p w14:paraId="13BBCD1C" w14:textId="2CADADB7" w:rsidR="00F83E7C" w:rsidRPr="00AC0FA4" w:rsidRDefault="00F83E7C" w:rsidP="00F83E7C">
            <w:pPr>
              <w:jc w:val="both"/>
              <w:rPr>
                <w:rFonts w:ascii="Times New Roman" w:hAnsi="Times New Roman" w:cs="Times New Roman"/>
              </w:rPr>
            </w:pPr>
            <w:r w:rsidRPr="00F31C31">
              <w:rPr>
                <w:rFonts w:ascii="Times New Roman" w:hAnsi="Times New Roman" w:cs="Times New Roman"/>
              </w:rPr>
              <w:t>Всяка помощ, предоставена от държавата или общината или за сметка на държавни или общински ресурси, пряко или чрез други лица, под каквато и да е форма, която нарушава или застрашава да наруши свободната конкуренция чрез поставяне в по-благоприятно положение на определени предприятия, производството или търговията на определени стоки, или предоставянето на определени услуги, доколкото се засяга търговията между държавите членки.</w:t>
            </w:r>
          </w:p>
        </w:tc>
      </w:tr>
      <w:tr w:rsidR="00F83E7C" w:rsidRPr="00AC0FA4" w14:paraId="7A12732A" w14:textId="77777777" w:rsidTr="00A634FD">
        <w:tc>
          <w:tcPr>
            <w:tcW w:w="2235" w:type="dxa"/>
          </w:tcPr>
          <w:p w14:paraId="512C8245" w14:textId="1DEE04A6" w:rsidR="00F83E7C" w:rsidRPr="00AC0FA4" w:rsidRDefault="00F83E7C" w:rsidP="00F83E7C">
            <w:pPr>
              <w:jc w:val="both"/>
              <w:rPr>
                <w:rFonts w:ascii="Times New Roman" w:hAnsi="Times New Roman" w:cs="Times New Roman"/>
                <w:b/>
                <w:color w:val="000000"/>
              </w:rPr>
            </w:pPr>
            <w:r w:rsidRPr="00F31C31">
              <w:rPr>
                <w:rFonts w:ascii="Times New Roman" w:hAnsi="Times New Roman" w:cs="Times New Roman"/>
                <w:b/>
              </w:rPr>
              <w:t>Минимална помощ (de minimis)</w:t>
            </w:r>
          </w:p>
        </w:tc>
        <w:tc>
          <w:tcPr>
            <w:tcW w:w="6977" w:type="dxa"/>
          </w:tcPr>
          <w:p w14:paraId="338E6DAE" w14:textId="4F350C80" w:rsidR="00F83E7C" w:rsidRPr="00AC0FA4" w:rsidRDefault="00F83E7C" w:rsidP="00F83E7C">
            <w:pPr>
              <w:jc w:val="both"/>
              <w:rPr>
                <w:rFonts w:ascii="Times New Roman" w:hAnsi="Times New Roman" w:cs="Times New Roman"/>
              </w:rPr>
            </w:pPr>
            <w:r w:rsidRPr="00F31C31">
              <w:rPr>
                <w:rFonts w:ascii="Times New Roman" w:hAnsi="Times New Roman" w:cs="Times New Roman"/>
              </w:rPr>
              <w:t xml:space="preserve">Помощта, която не нарушава и не застрашава конкуренцията или има незначително въздействие върху нея поради своя минимален размер, както е дефинирана в действащия регламент на ЕС, относно прилагането </w:t>
            </w:r>
            <w:r w:rsidRPr="00F31C31">
              <w:rPr>
                <w:rFonts w:ascii="Times New Roman" w:hAnsi="Times New Roman" w:cs="Times New Roman"/>
              </w:rPr>
              <w:lastRenderedPageBreak/>
              <w:t>на чл. 107 и 108 от Договора за функционирането на ЕС по отношение на минималната помощ.</w:t>
            </w:r>
          </w:p>
        </w:tc>
      </w:tr>
      <w:tr w:rsidR="00F83E7C" w:rsidRPr="00AC0FA4" w14:paraId="05447698" w14:textId="77777777" w:rsidTr="00A634FD">
        <w:tc>
          <w:tcPr>
            <w:tcW w:w="2235" w:type="dxa"/>
          </w:tcPr>
          <w:p w14:paraId="15EFCBB1" w14:textId="77777777" w:rsidR="00F83E7C" w:rsidRPr="00AC0FA4" w:rsidRDefault="00F83E7C" w:rsidP="00F83E7C">
            <w:pPr>
              <w:jc w:val="both"/>
              <w:rPr>
                <w:rFonts w:ascii="Times New Roman" w:hAnsi="Times New Roman" w:cs="Times New Roman"/>
                <w:b/>
                <w:color w:val="000000"/>
              </w:rPr>
            </w:pPr>
            <w:r>
              <w:rPr>
                <w:rFonts w:ascii="Times New Roman" w:hAnsi="Times New Roman" w:cs="Times New Roman"/>
                <w:b/>
                <w:color w:val="000000"/>
              </w:rPr>
              <w:lastRenderedPageBreak/>
              <w:t>Закрита спортна инфраструктура в общинска образователна инфраструктура</w:t>
            </w:r>
          </w:p>
        </w:tc>
        <w:tc>
          <w:tcPr>
            <w:tcW w:w="6977" w:type="dxa"/>
          </w:tcPr>
          <w:p w14:paraId="2B660E6F" w14:textId="77777777" w:rsidR="00F83E7C" w:rsidRPr="00AC0FA4" w:rsidRDefault="00F83E7C" w:rsidP="00F83E7C">
            <w:pPr>
              <w:jc w:val="both"/>
              <w:rPr>
                <w:rFonts w:ascii="Times New Roman" w:hAnsi="Times New Roman" w:cs="Times New Roman"/>
              </w:rPr>
            </w:pPr>
            <w:r>
              <w:rPr>
                <w:rFonts w:ascii="Times New Roman" w:hAnsi="Times New Roman" w:cs="Times New Roman"/>
              </w:rPr>
              <w:t xml:space="preserve">Закрита спортна инфраструктура е зала за спорт (физкултурен салон). </w:t>
            </w:r>
          </w:p>
        </w:tc>
      </w:tr>
      <w:tr w:rsidR="00F83E7C" w:rsidRPr="00AC0FA4" w14:paraId="359F9BCE" w14:textId="77777777" w:rsidTr="00A634FD">
        <w:tc>
          <w:tcPr>
            <w:tcW w:w="2235" w:type="dxa"/>
          </w:tcPr>
          <w:p w14:paraId="2E865686" w14:textId="77777777" w:rsidR="00F83E7C" w:rsidRPr="00AC0FA4" w:rsidRDefault="00F83E7C" w:rsidP="00F83E7C">
            <w:pPr>
              <w:jc w:val="both"/>
              <w:rPr>
                <w:rFonts w:ascii="Times New Roman" w:hAnsi="Times New Roman" w:cs="Times New Roman"/>
                <w:b/>
              </w:rPr>
            </w:pPr>
            <w:r w:rsidRPr="00AC0FA4">
              <w:rPr>
                <w:rFonts w:ascii="Times New Roman" w:hAnsi="Times New Roman" w:cs="Times New Roman"/>
                <w:b/>
                <w:color w:val="000000"/>
              </w:rPr>
              <w:t>Изкуствено създадени условия</w:t>
            </w:r>
          </w:p>
        </w:tc>
        <w:tc>
          <w:tcPr>
            <w:tcW w:w="6977" w:type="dxa"/>
          </w:tcPr>
          <w:p w14:paraId="72B21A15" w14:textId="77777777" w:rsidR="00F83E7C" w:rsidRPr="00AC0FA4" w:rsidRDefault="00F83E7C" w:rsidP="00F83E7C">
            <w:pPr>
              <w:jc w:val="both"/>
              <w:rPr>
                <w:rFonts w:ascii="Times New Roman" w:hAnsi="Times New Roman" w:cs="Times New Roman"/>
              </w:rPr>
            </w:pPr>
            <w:r w:rsidRPr="00AC0FA4">
              <w:rPr>
                <w:rFonts w:ascii="Times New Roman" w:hAnsi="Times New Roman" w:cs="Times New Roman"/>
              </w:rPr>
              <w:t xml:space="preserve">Всяко установено от </w:t>
            </w:r>
            <w:r>
              <w:rPr>
                <w:rFonts w:ascii="Times New Roman" w:hAnsi="Times New Roman" w:cs="Times New Roman"/>
              </w:rPr>
              <w:t xml:space="preserve">Държавен фонд „Земеделие“ - </w:t>
            </w:r>
            <w:r w:rsidRPr="00AC0FA4">
              <w:rPr>
                <w:rFonts w:ascii="Times New Roman" w:hAnsi="Times New Roman" w:cs="Times New Roman"/>
              </w:rPr>
              <w:t>Разплащателна агенция (</w:t>
            </w:r>
            <w:r>
              <w:rPr>
                <w:rFonts w:ascii="Times New Roman" w:hAnsi="Times New Roman" w:cs="Times New Roman"/>
              </w:rPr>
              <w:t>ДФЗ-</w:t>
            </w:r>
            <w:r w:rsidRPr="00AC0FA4">
              <w:rPr>
                <w:rFonts w:ascii="Times New Roman" w:hAnsi="Times New Roman" w:cs="Times New Roman"/>
              </w:rPr>
              <w:t xml:space="preserve">РА) или друг компетентен орган условие по смисъла на </w:t>
            </w:r>
            <w:hyperlink r:id="rId12" w:history="1">
              <w:r w:rsidRPr="00AC0FA4">
                <w:rPr>
                  <w:rFonts w:ascii="Times New Roman" w:hAnsi="Times New Roman" w:cs="Times New Roman"/>
                  <w:color w:val="000000"/>
                </w:rPr>
                <w:t>чл. 60 от Регламент (ЕС) № 1306/2013</w:t>
              </w:r>
            </w:hyperlink>
            <w:r w:rsidRPr="00AC0FA4">
              <w:rPr>
                <w:rFonts w:ascii="Times New Roman" w:hAnsi="Times New Roman" w:cs="Times New Roman"/>
              </w:rPr>
              <w:t xml:space="preserve"> на Европейския парламент и на Съвета по отношение на интегрираната система за администриране и контрол, мерките за развитие на селските райони и кръстосаното съответствие (ОВ, L 227/69 от 31 юли 2014 г.).</w:t>
            </w:r>
          </w:p>
        </w:tc>
      </w:tr>
      <w:tr w:rsidR="00F83E7C" w:rsidRPr="00AC0FA4" w14:paraId="60453581" w14:textId="77777777" w:rsidTr="00A634FD">
        <w:tc>
          <w:tcPr>
            <w:tcW w:w="2235" w:type="dxa"/>
          </w:tcPr>
          <w:p w14:paraId="4728F132" w14:textId="77777777" w:rsidR="00F83E7C" w:rsidRPr="00AC0FA4" w:rsidRDefault="00F83E7C" w:rsidP="00F83E7C">
            <w:pPr>
              <w:jc w:val="both"/>
              <w:rPr>
                <w:rFonts w:ascii="Times New Roman" w:hAnsi="Times New Roman" w:cs="Times New Roman"/>
                <w:b/>
              </w:rPr>
            </w:pPr>
            <w:r w:rsidRPr="00AC0FA4">
              <w:rPr>
                <w:rFonts w:ascii="Times New Roman" w:hAnsi="Times New Roman" w:cs="Times New Roman"/>
                <w:b/>
                <w:color w:val="000000"/>
              </w:rPr>
              <w:t>Инвестиционен проект</w:t>
            </w:r>
          </w:p>
        </w:tc>
        <w:tc>
          <w:tcPr>
            <w:tcW w:w="6977" w:type="dxa"/>
          </w:tcPr>
          <w:p w14:paraId="08B9F052" w14:textId="77777777" w:rsidR="00F83E7C" w:rsidRPr="00AC0FA4" w:rsidRDefault="00F83E7C" w:rsidP="00F83E7C">
            <w:pPr>
              <w:jc w:val="both"/>
              <w:rPr>
                <w:rFonts w:ascii="Times New Roman" w:hAnsi="Times New Roman" w:cs="Times New Roman"/>
              </w:rPr>
            </w:pPr>
            <w:r w:rsidRPr="00AC0FA4">
              <w:rPr>
                <w:rFonts w:ascii="Times New Roman" w:hAnsi="Times New Roman" w:cs="Times New Roman"/>
              </w:rPr>
              <w:t xml:space="preserve">Проект по смисъла на </w:t>
            </w:r>
            <w:hyperlink r:id="rId13" w:history="1">
              <w:r w:rsidRPr="00AC0FA4">
                <w:rPr>
                  <w:rFonts w:ascii="Times New Roman" w:hAnsi="Times New Roman" w:cs="Times New Roman"/>
                  <w:color w:val="000000"/>
                </w:rPr>
                <w:t>Закона за устройство на територията</w:t>
              </w:r>
            </w:hyperlink>
            <w:r w:rsidRPr="00AC0FA4">
              <w:rPr>
                <w:rFonts w:ascii="Times New Roman" w:hAnsi="Times New Roman" w:cs="Times New Roman"/>
              </w:rPr>
              <w:t xml:space="preserve"> и </w:t>
            </w:r>
            <w:hyperlink r:id="rId14" w:history="1">
              <w:r w:rsidRPr="00AC0FA4">
                <w:rPr>
                  <w:rFonts w:ascii="Times New Roman" w:hAnsi="Times New Roman" w:cs="Times New Roman"/>
                  <w:color w:val="000000"/>
                </w:rPr>
                <w:t>Наредба № 4 за обхвата и съдържанието на инвестиционните проекти</w:t>
              </w:r>
            </w:hyperlink>
            <w:r w:rsidRPr="00AC0FA4">
              <w:rPr>
                <w:rFonts w:ascii="Times New Roman" w:hAnsi="Times New Roman" w:cs="Times New Roman"/>
              </w:rPr>
              <w:t xml:space="preserve"> (ДВ, бр. 51 от 2001 г.), предназначен за строителството на обекта/ите, включени в проекта.</w:t>
            </w:r>
          </w:p>
        </w:tc>
      </w:tr>
      <w:tr w:rsidR="00F83E7C" w:rsidRPr="00AC0FA4" w14:paraId="2CBAB43C" w14:textId="77777777" w:rsidTr="00A634FD">
        <w:tc>
          <w:tcPr>
            <w:tcW w:w="2235" w:type="dxa"/>
          </w:tcPr>
          <w:p w14:paraId="5A228D26" w14:textId="77777777" w:rsidR="00F83E7C" w:rsidRPr="00AC0FA4" w:rsidRDefault="00F83E7C" w:rsidP="00F83E7C">
            <w:pPr>
              <w:jc w:val="both"/>
              <w:rPr>
                <w:rFonts w:ascii="Times New Roman" w:hAnsi="Times New Roman" w:cs="Times New Roman"/>
                <w:b/>
              </w:rPr>
            </w:pPr>
            <w:r w:rsidRPr="00AC0FA4">
              <w:rPr>
                <w:rFonts w:ascii="Times New Roman" w:hAnsi="Times New Roman" w:cs="Times New Roman"/>
                <w:b/>
                <w:color w:val="000000"/>
              </w:rPr>
              <w:t>Междинно плащане</w:t>
            </w:r>
          </w:p>
        </w:tc>
        <w:tc>
          <w:tcPr>
            <w:tcW w:w="6977" w:type="dxa"/>
          </w:tcPr>
          <w:p w14:paraId="7A8DCB3C" w14:textId="77777777" w:rsidR="00F83E7C" w:rsidRPr="00AC0FA4" w:rsidRDefault="00F83E7C" w:rsidP="00F83E7C">
            <w:pPr>
              <w:jc w:val="both"/>
              <w:rPr>
                <w:rFonts w:ascii="Times New Roman" w:hAnsi="Times New Roman" w:cs="Times New Roman"/>
              </w:rPr>
            </w:pPr>
            <w:r w:rsidRPr="00AC0FA4">
              <w:rPr>
                <w:rFonts w:ascii="Times New Roman" w:hAnsi="Times New Roman" w:cs="Times New Roman"/>
              </w:rPr>
              <w:t>Плащане за обособена част от одобрената и извършена инвестиция.</w:t>
            </w:r>
          </w:p>
        </w:tc>
      </w:tr>
      <w:tr w:rsidR="00F83E7C" w:rsidRPr="00AC0FA4" w14:paraId="06F67B3A" w14:textId="77777777" w:rsidTr="00A634FD">
        <w:tc>
          <w:tcPr>
            <w:tcW w:w="2235" w:type="dxa"/>
          </w:tcPr>
          <w:p w14:paraId="11A129F5" w14:textId="77777777" w:rsidR="00F83E7C" w:rsidRPr="00AC0FA4" w:rsidRDefault="00F83E7C" w:rsidP="00F83E7C">
            <w:pPr>
              <w:jc w:val="both"/>
              <w:rPr>
                <w:rFonts w:ascii="Times New Roman" w:hAnsi="Times New Roman" w:cs="Times New Roman"/>
                <w:b/>
              </w:rPr>
            </w:pPr>
            <w:r w:rsidRPr="00AC0FA4">
              <w:rPr>
                <w:rFonts w:ascii="Times New Roman" w:hAnsi="Times New Roman" w:cs="Times New Roman"/>
                <w:b/>
                <w:color w:val="000000"/>
              </w:rPr>
              <w:t>Независими оферти</w:t>
            </w:r>
          </w:p>
        </w:tc>
        <w:tc>
          <w:tcPr>
            <w:tcW w:w="6977" w:type="dxa"/>
          </w:tcPr>
          <w:p w14:paraId="6ED34C68" w14:textId="77777777" w:rsidR="00F83E7C" w:rsidRPr="00AC0FA4" w:rsidRDefault="00F83E7C" w:rsidP="00F83E7C">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Оферти, подадени от лица, които не се намират в следната свързаност помежду си или спрямо кандидата:</w:t>
            </w:r>
          </w:p>
          <w:p w14:paraId="3B2718A9" w14:textId="77777777" w:rsidR="00F83E7C" w:rsidRPr="00AC0FA4" w:rsidRDefault="00F83E7C" w:rsidP="00F83E7C">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а) едното участва в управлението на дружеството на другото;</w:t>
            </w:r>
          </w:p>
          <w:p w14:paraId="65E9CE01" w14:textId="77777777" w:rsidR="00F83E7C" w:rsidRPr="00AC0FA4" w:rsidRDefault="00F83E7C" w:rsidP="00F83E7C">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б) съдружници;</w:t>
            </w:r>
          </w:p>
          <w:p w14:paraId="5590E88F" w14:textId="77777777" w:rsidR="00F83E7C" w:rsidRPr="00AC0FA4" w:rsidRDefault="00F83E7C" w:rsidP="00F83E7C">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в) съвместно контролират пряко трето лице;</w:t>
            </w:r>
          </w:p>
          <w:p w14:paraId="33369AE1" w14:textId="77777777" w:rsidR="00F83E7C" w:rsidRPr="00AC0FA4" w:rsidRDefault="00F83E7C" w:rsidP="00F83E7C">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г) участват пряко в управлението или капитала на друго лице, поради което между тях могат да се уговарят условия, различни от обичайните;</w:t>
            </w:r>
          </w:p>
          <w:p w14:paraId="50E076EA" w14:textId="77777777" w:rsidR="00F83E7C" w:rsidRPr="00AC0FA4" w:rsidRDefault="00F83E7C" w:rsidP="00F83E7C">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д) едното лице притежава повече от половината от броя на гласовете в общото събрание на другото лице;</w:t>
            </w:r>
          </w:p>
          <w:p w14:paraId="4E3ECC4B" w14:textId="77777777" w:rsidR="00F83E7C" w:rsidRPr="00AC0FA4" w:rsidRDefault="00F83E7C" w:rsidP="00F83E7C">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е) лицата, чиято дейност се контролира пряко или косвено от трето лице – физическо или юридическо;</w:t>
            </w:r>
          </w:p>
          <w:p w14:paraId="5A30388E" w14:textId="77777777" w:rsidR="00F83E7C" w:rsidRPr="00AC0FA4" w:rsidRDefault="00F83E7C" w:rsidP="00F83E7C">
            <w:pPr>
              <w:jc w:val="both"/>
              <w:rPr>
                <w:rFonts w:ascii="Times New Roman" w:hAnsi="Times New Roman" w:cs="Times New Roman"/>
              </w:rPr>
            </w:pPr>
            <w:r w:rsidRPr="00AC0FA4">
              <w:rPr>
                <w:rFonts w:ascii="Times New Roman" w:eastAsia="Times New Roman" w:hAnsi="Times New Roman" w:cs="Times New Roman"/>
                <w:color w:val="000000"/>
                <w:lang w:eastAsia="bg-BG"/>
              </w:rPr>
              <w:t>ж) лицата, едното от които е търговски представител на другото.</w:t>
            </w:r>
          </w:p>
        </w:tc>
      </w:tr>
      <w:tr w:rsidR="00F83E7C" w:rsidRPr="00AC0FA4" w14:paraId="07D94799" w14:textId="77777777" w:rsidTr="00A634FD">
        <w:tc>
          <w:tcPr>
            <w:tcW w:w="2235" w:type="dxa"/>
          </w:tcPr>
          <w:p w14:paraId="38E2192B" w14:textId="77777777" w:rsidR="00F83E7C" w:rsidRPr="00AC0FA4" w:rsidRDefault="00F83E7C" w:rsidP="00F83E7C">
            <w:pPr>
              <w:jc w:val="both"/>
              <w:rPr>
                <w:rFonts w:ascii="Times New Roman" w:hAnsi="Times New Roman" w:cs="Times New Roman"/>
                <w:b/>
              </w:rPr>
            </w:pPr>
            <w:r w:rsidRPr="00AC0FA4">
              <w:rPr>
                <w:rFonts w:ascii="Times New Roman" w:hAnsi="Times New Roman" w:cs="Times New Roman"/>
                <w:b/>
                <w:color w:val="000000"/>
              </w:rPr>
              <w:t>Непредвидени разходи</w:t>
            </w:r>
          </w:p>
        </w:tc>
        <w:tc>
          <w:tcPr>
            <w:tcW w:w="6977" w:type="dxa"/>
          </w:tcPr>
          <w:p w14:paraId="54EC49D5" w14:textId="77777777" w:rsidR="00F83E7C" w:rsidRPr="00AC0FA4" w:rsidRDefault="00F83E7C" w:rsidP="00F83E7C">
            <w:pPr>
              <w:jc w:val="both"/>
              <w:rPr>
                <w:rFonts w:ascii="Times New Roman" w:hAnsi="Times New Roman" w:cs="Times New Roman"/>
              </w:rPr>
            </w:pPr>
            <w:r w:rsidRPr="00AC0FA4">
              <w:rPr>
                <w:rFonts w:ascii="Times New Roman" w:hAnsi="Times New Roman" w:cs="Times New Roman"/>
              </w:rPr>
              <w:t xml:space="preserve">Разходи, възникнали в резултат на работи и/или обстоятелства, които не </w:t>
            </w:r>
            <w:r>
              <w:rPr>
                <w:rFonts w:ascii="Times New Roman" w:hAnsi="Times New Roman" w:cs="Times New Roman"/>
              </w:rPr>
              <w:t>са</w:t>
            </w:r>
            <w:r w:rsidRPr="00AC0FA4">
              <w:rPr>
                <w:rFonts w:ascii="Times New Roman" w:hAnsi="Times New Roman" w:cs="Times New Roman"/>
              </w:rPr>
              <w:t xml:space="preserve"> могл</w:t>
            </w:r>
            <w:r>
              <w:rPr>
                <w:rFonts w:ascii="Times New Roman" w:hAnsi="Times New Roman" w:cs="Times New Roman"/>
              </w:rPr>
              <w:t>и</w:t>
            </w:r>
            <w:r w:rsidRPr="00AC0FA4">
              <w:rPr>
                <w:rFonts w:ascii="Times New Roman" w:hAnsi="Times New Roman" w:cs="Times New Roman"/>
              </w:rPr>
              <w:t xml:space="preserve"> да бъдат предвидени при първоначалното проектиране. Същите водят до увеличаване на количествата, заложени предварително в количествените сметки към проекта, и/или до нови строително-монтажни работи, за които са спазени условията за допустимост на разходите, предназначени за постигане на целите на проекта. В случаите на кандидати, които са възложители по </w:t>
            </w:r>
            <w:hyperlink r:id="rId15" w:history="1">
              <w:r w:rsidRPr="00AC0FA4">
                <w:rPr>
                  <w:rFonts w:ascii="Times New Roman" w:hAnsi="Times New Roman" w:cs="Times New Roman"/>
                  <w:color w:val="000000"/>
                </w:rPr>
                <w:t>чл. 5</w:t>
              </w:r>
            </w:hyperlink>
            <w:r w:rsidRPr="00AC0FA4">
              <w:rPr>
                <w:rFonts w:ascii="Times New Roman" w:hAnsi="Times New Roman" w:cs="Times New Roman"/>
              </w:rPr>
              <w:t xml:space="preserve"> и </w:t>
            </w:r>
            <w:hyperlink r:id="rId16" w:history="1">
              <w:r w:rsidRPr="00AC0FA4">
                <w:rPr>
                  <w:rFonts w:ascii="Times New Roman" w:hAnsi="Times New Roman" w:cs="Times New Roman"/>
                  <w:color w:val="000000"/>
                </w:rPr>
                <w:t>6 от Закона за обществените поръчки</w:t>
              </w:r>
            </w:hyperlink>
            <w:r w:rsidRPr="00AC0FA4">
              <w:rPr>
                <w:rFonts w:ascii="Times New Roman" w:hAnsi="Times New Roman" w:cs="Times New Roman"/>
              </w:rPr>
              <w:t xml:space="preserve">, новите строително-монтажни работи следва да бъдат възлагани по реда на </w:t>
            </w:r>
            <w:hyperlink r:id="rId17" w:history="1">
              <w:r w:rsidRPr="00AC0FA4">
                <w:rPr>
                  <w:rFonts w:ascii="Times New Roman" w:hAnsi="Times New Roman" w:cs="Times New Roman"/>
                  <w:color w:val="000000"/>
                </w:rPr>
                <w:t>Закона за обществените поръчки</w:t>
              </w:r>
            </w:hyperlink>
            <w:r w:rsidRPr="00AC0FA4">
              <w:rPr>
                <w:rFonts w:ascii="Times New Roman" w:hAnsi="Times New Roman" w:cs="Times New Roman"/>
              </w:rPr>
              <w:t xml:space="preserve"> в случаите, когато не са допуснати изключения.</w:t>
            </w:r>
          </w:p>
        </w:tc>
      </w:tr>
      <w:tr w:rsidR="00F83E7C" w:rsidRPr="00AC0FA4" w14:paraId="1820779A" w14:textId="77777777" w:rsidTr="00A634FD">
        <w:tc>
          <w:tcPr>
            <w:tcW w:w="2235" w:type="dxa"/>
          </w:tcPr>
          <w:p w14:paraId="359C7C8B" w14:textId="77777777" w:rsidR="00F83E7C" w:rsidRPr="00AC0FA4" w:rsidRDefault="00F83E7C" w:rsidP="00F83E7C">
            <w:pPr>
              <w:jc w:val="both"/>
              <w:rPr>
                <w:rFonts w:ascii="Times New Roman" w:hAnsi="Times New Roman" w:cs="Times New Roman"/>
                <w:b/>
              </w:rPr>
            </w:pPr>
            <w:r w:rsidRPr="00AC0FA4">
              <w:rPr>
                <w:rFonts w:ascii="Times New Roman" w:hAnsi="Times New Roman" w:cs="Times New Roman"/>
                <w:b/>
                <w:color w:val="000000"/>
              </w:rPr>
              <w:t>Непреодолима сила или извънредни обстоятелства</w:t>
            </w:r>
          </w:p>
        </w:tc>
        <w:tc>
          <w:tcPr>
            <w:tcW w:w="6977" w:type="dxa"/>
          </w:tcPr>
          <w:p w14:paraId="4F62B0AB" w14:textId="77777777" w:rsidR="00F83E7C" w:rsidRPr="00AC0FA4" w:rsidRDefault="00F83E7C" w:rsidP="00F83E7C">
            <w:pPr>
              <w:jc w:val="both"/>
              <w:rPr>
                <w:rFonts w:ascii="Times New Roman" w:hAnsi="Times New Roman" w:cs="Times New Roman"/>
              </w:rPr>
            </w:pPr>
            <w:r w:rsidRPr="00AC0FA4">
              <w:rPr>
                <w:rFonts w:ascii="Times New Roman" w:hAnsi="Times New Roman" w:cs="Times New Roman"/>
              </w:rPr>
              <w:t xml:space="preserve">Обстоятелства по смисъла на </w:t>
            </w:r>
            <w:hyperlink r:id="rId18" w:history="1">
              <w:r w:rsidRPr="00AC0FA4">
                <w:rPr>
                  <w:rFonts w:ascii="Times New Roman" w:hAnsi="Times New Roman" w:cs="Times New Roman"/>
                  <w:color w:val="000000"/>
                </w:rPr>
                <w:t>чл. 2, параграф 2 от Регламент (ЕС) № 1306/2013 г.</w:t>
              </w:r>
            </w:hyperlink>
          </w:p>
        </w:tc>
      </w:tr>
      <w:tr w:rsidR="00F83E7C" w:rsidRPr="00AC0FA4" w14:paraId="579A824F" w14:textId="77777777" w:rsidTr="00A634FD">
        <w:tc>
          <w:tcPr>
            <w:tcW w:w="2235" w:type="dxa"/>
          </w:tcPr>
          <w:p w14:paraId="3098FC81" w14:textId="77777777" w:rsidR="00F83E7C" w:rsidRPr="00AC0FA4" w:rsidRDefault="00F83E7C" w:rsidP="00F83E7C">
            <w:pPr>
              <w:jc w:val="both"/>
              <w:rPr>
                <w:rFonts w:ascii="Times New Roman" w:hAnsi="Times New Roman" w:cs="Times New Roman"/>
                <w:b/>
              </w:rPr>
            </w:pPr>
            <w:r w:rsidRPr="00AC0FA4">
              <w:rPr>
                <w:rFonts w:ascii="Times New Roman" w:hAnsi="Times New Roman" w:cs="Times New Roman"/>
                <w:b/>
                <w:color w:val="000000"/>
              </w:rPr>
              <w:lastRenderedPageBreak/>
              <w:t>Нередност</w:t>
            </w:r>
          </w:p>
        </w:tc>
        <w:tc>
          <w:tcPr>
            <w:tcW w:w="6977" w:type="dxa"/>
          </w:tcPr>
          <w:p w14:paraId="781BA51F" w14:textId="77777777" w:rsidR="00F83E7C" w:rsidRPr="00AC0FA4" w:rsidRDefault="00F83E7C" w:rsidP="00F83E7C">
            <w:pPr>
              <w:jc w:val="both"/>
              <w:rPr>
                <w:rFonts w:ascii="Times New Roman" w:hAnsi="Times New Roman" w:cs="Times New Roman"/>
              </w:rPr>
            </w:pPr>
            <w:r w:rsidRPr="00AC0FA4">
              <w:rPr>
                <w:rFonts w:ascii="Times New Roman" w:hAnsi="Times New Roman" w:cs="Times New Roman"/>
              </w:rPr>
              <w:t>Всяко нарушение на правото на ЕС или на българското законодателство, произтичащо от действие или бездействие на икономически оператор, участващ в прилагането на европейските структурни и инвестиционни фондове, което има или би имало за последица нанасянето на вреда на бюджета на Съюза чрез начисляване на неправомерен разход в бюджета на Съюза.</w:t>
            </w:r>
          </w:p>
        </w:tc>
      </w:tr>
      <w:tr w:rsidR="00F83E7C" w:rsidRPr="00AC0FA4" w14:paraId="4F30B129" w14:textId="77777777" w:rsidTr="00A634FD">
        <w:tc>
          <w:tcPr>
            <w:tcW w:w="2235" w:type="dxa"/>
          </w:tcPr>
          <w:p w14:paraId="6123FBBA" w14:textId="77777777" w:rsidR="00F83E7C" w:rsidRDefault="00F83E7C" w:rsidP="00F83E7C">
            <w:pPr>
              <w:jc w:val="both"/>
              <w:rPr>
                <w:rFonts w:ascii="Times New Roman" w:hAnsi="Times New Roman" w:cs="Times New Roman"/>
                <w:b/>
                <w:color w:val="000000"/>
              </w:rPr>
            </w:pPr>
            <w:r w:rsidRPr="00AC0FA4">
              <w:rPr>
                <w:rFonts w:ascii="Times New Roman" w:hAnsi="Times New Roman" w:cs="Times New Roman"/>
                <w:b/>
                <w:color w:val="000000"/>
              </w:rPr>
              <w:t>Оперативни разходи</w:t>
            </w:r>
          </w:p>
          <w:p w14:paraId="5D85E7D7" w14:textId="77777777" w:rsidR="009C4C6D" w:rsidRPr="00AC0FA4" w:rsidRDefault="009C4C6D" w:rsidP="00F83E7C">
            <w:pPr>
              <w:jc w:val="both"/>
              <w:rPr>
                <w:rFonts w:ascii="Times New Roman" w:hAnsi="Times New Roman" w:cs="Times New Roman"/>
                <w:b/>
              </w:rPr>
            </w:pPr>
          </w:p>
        </w:tc>
        <w:tc>
          <w:tcPr>
            <w:tcW w:w="6977" w:type="dxa"/>
          </w:tcPr>
          <w:p w14:paraId="751C0675" w14:textId="77777777" w:rsidR="00F83E7C" w:rsidRPr="00AC0FA4" w:rsidRDefault="00F83E7C" w:rsidP="00F83E7C">
            <w:pPr>
              <w:jc w:val="both"/>
              <w:rPr>
                <w:rFonts w:ascii="Times New Roman" w:hAnsi="Times New Roman" w:cs="Times New Roman"/>
              </w:rPr>
            </w:pPr>
            <w:r w:rsidRPr="00AC0FA4">
              <w:rPr>
                <w:rFonts w:ascii="Times New Roman" w:hAnsi="Times New Roman" w:cs="Times New Roman"/>
              </w:rPr>
              <w:t>Административните разходи и разходите, свързани с поддръжка, наеми, застраховка, текущ ремонт с поддръжка и експлоатация на активите.</w:t>
            </w:r>
          </w:p>
        </w:tc>
      </w:tr>
      <w:tr w:rsidR="00F83E7C" w:rsidRPr="00AC0FA4" w14:paraId="7E447005" w14:textId="77777777" w:rsidTr="00A634FD">
        <w:tc>
          <w:tcPr>
            <w:tcW w:w="2235" w:type="dxa"/>
          </w:tcPr>
          <w:p w14:paraId="1A095913" w14:textId="77777777" w:rsidR="00F83E7C" w:rsidRPr="00AC0FA4" w:rsidRDefault="00F83E7C" w:rsidP="00F83E7C">
            <w:pPr>
              <w:jc w:val="both"/>
              <w:rPr>
                <w:rFonts w:ascii="Times New Roman" w:hAnsi="Times New Roman" w:cs="Times New Roman"/>
                <w:b/>
              </w:rPr>
            </w:pPr>
            <w:r w:rsidRPr="00CE6FF2">
              <w:rPr>
                <w:rFonts w:ascii="Times New Roman" w:hAnsi="Times New Roman" w:cs="Times New Roman"/>
                <w:b/>
                <w:color w:val="000000"/>
              </w:rPr>
              <w:t>Обект общинска образователна инфраструктура с местно значение</w:t>
            </w:r>
          </w:p>
        </w:tc>
        <w:tc>
          <w:tcPr>
            <w:tcW w:w="6977" w:type="dxa"/>
          </w:tcPr>
          <w:p w14:paraId="73AAE5F2" w14:textId="77777777" w:rsidR="00F83E7C" w:rsidRPr="00AC0FA4" w:rsidRDefault="00F83E7C" w:rsidP="00F83E7C">
            <w:pPr>
              <w:jc w:val="both"/>
              <w:rPr>
                <w:rFonts w:ascii="Times New Roman" w:hAnsi="Times New Roman" w:cs="Times New Roman"/>
              </w:rPr>
            </w:pPr>
            <w:r w:rsidRPr="00AC0FA4">
              <w:rPr>
                <w:rFonts w:ascii="Times New Roman" w:hAnsi="Times New Roman" w:cs="Times New Roman"/>
              </w:rPr>
              <w:t>Детск</w:t>
            </w:r>
            <w:r>
              <w:rPr>
                <w:rFonts w:ascii="Times New Roman" w:hAnsi="Times New Roman" w:cs="Times New Roman"/>
              </w:rPr>
              <w:t>а</w:t>
            </w:r>
            <w:r w:rsidRPr="00AC0FA4">
              <w:rPr>
                <w:rFonts w:ascii="Times New Roman" w:hAnsi="Times New Roman" w:cs="Times New Roman"/>
              </w:rPr>
              <w:t xml:space="preserve"> градин</w:t>
            </w:r>
            <w:r>
              <w:rPr>
                <w:rFonts w:ascii="Times New Roman" w:hAnsi="Times New Roman" w:cs="Times New Roman"/>
              </w:rPr>
              <w:t>а</w:t>
            </w:r>
            <w:r w:rsidRPr="00AC0FA4">
              <w:rPr>
                <w:rFonts w:ascii="Times New Roman" w:hAnsi="Times New Roman" w:cs="Times New Roman"/>
              </w:rPr>
              <w:t>, финансиран</w:t>
            </w:r>
            <w:r>
              <w:rPr>
                <w:rFonts w:ascii="Times New Roman" w:hAnsi="Times New Roman" w:cs="Times New Roman"/>
              </w:rPr>
              <w:t>а</w:t>
            </w:r>
            <w:r w:rsidRPr="00AC0FA4">
              <w:rPr>
                <w:rFonts w:ascii="Times New Roman" w:hAnsi="Times New Roman" w:cs="Times New Roman"/>
              </w:rPr>
              <w:t xml:space="preserve"> чрез бюджета на общин</w:t>
            </w:r>
            <w:r>
              <w:rPr>
                <w:rFonts w:ascii="Times New Roman" w:hAnsi="Times New Roman" w:cs="Times New Roman"/>
              </w:rPr>
              <w:t>ата</w:t>
            </w:r>
            <w:r w:rsidRPr="00AC0FA4">
              <w:rPr>
                <w:rFonts w:ascii="Times New Roman" w:hAnsi="Times New Roman" w:cs="Times New Roman"/>
              </w:rPr>
              <w:t>, или основн</w:t>
            </w:r>
            <w:r>
              <w:rPr>
                <w:rFonts w:ascii="Times New Roman" w:hAnsi="Times New Roman" w:cs="Times New Roman"/>
              </w:rPr>
              <w:t>о</w:t>
            </w:r>
            <w:r w:rsidRPr="00AC0FA4">
              <w:rPr>
                <w:rFonts w:ascii="Times New Roman" w:hAnsi="Times New Roman" w:cs="Times New Roman"/>
              </w:rPr>
              <w:t xml:space="preserve"> или средн</w:t>
            </w:r>
            <w:r>
              <w:rPr>
                <w:rFonts w:ascii="Times New Roman" w:hAnsi="Times New Roman" w:cs="Times New Roman"/>
              </w:rPr>
              <w:t>о</w:t>
            </w:r>
            <w:r w:rsidRPr="00AC0FA4">
              <w:rPr>
                <w:rFonts w:ascii="Times New Roman" w:hAnsi="Times New Roman" w:cs="Times New Roman"/>
              </w:rPr>
              <w:t xml:space="preserve"> училищ</w:t>
            </w:r>
            <w:r>
              <w:rPr>
                <w:rFonts w:ascii="Times New Roman" w:hAnsi="Times New Roman" w:cs="Times New Roman"/>
              </w:rPr>
              <w:t>е</w:t>
            </w:r>
            <w:r w:rsidRPr="00AC0FA4">
              <w:rPr>
                <w:rFonts w:ascii="Times New Roman" w:hAnsi="Times New Roman" w:cs="Times New Roman"/>
              </w:rPr>
              <w:t>, финансирани чрез бюджета на общин</w:t>
            </w:r>
            <w:r>
              <w:rPr>
                <w:rFonts w:ascii="Times New Roman" w:hAnsi="Times New Roman" w:cs="Times New Roman"/>
              </w:rPr>
              <w:t>ата</w:t>
            </w:r>
            <w:r w:rsidRPr="00AC0FA4">
              <w:rPr>
                <w:rFonts w:ascii="Times New Roman" w:hAnsi="Times New Roman" w:cs="Times New Roman"/>
              </w:rPr>
              <w:t xml:space="preserve"> или професионални гимназии по § 10 от Преходните и заключителни разпоредби на Закона за предучилищното и училищно образование.</w:t>
            </w:r>
          </w:p>
        </w:tc>
      </w:tr>
      <w:tr w:rsidR="00F83E7C" w:rsidRPr="00AC0FA4" w14:paraId="46C0F129" w14:textId="77777777" w:rsidTr="00A634FD">
        <w:tc>
          <w:tcPr>
            <w:tcW w:w="2235" w:type="dxa"/>
          </w:tcPr>
          <w:p w14:paraId="228A5A71" w14:textId="77777777" w:rsidR="00F83E7C" w:rsidRPr="00AC0FA4" w:rsidRDefault="00F83E7C" w:rsidP="00F83E7C">
            <w:pPr>
              <w:jc w:val="both"/>
              <w:rPr>
                <w:rFonts w:ascii="Times New Roman" w:hAnsi="Times New Roman" w:cs="Times New Roman"/>
                <w:b/>
              </w:rPr>
            </w:pPr>
            <w:r w:rsidRPr="00AC0FA4">
              <w:rPr>
                <w:rFonts w:ascii="Times New Roman" w:hAnsi="Times New Roman" w:cs="Times New Roman"/>
                <w:b/>
                <w:color w:val="000000"/>
              </w:rPr>
              <w:t>Обикновена подмяна</w:t>
            </w:r>
          </w:p>
        </w:tc>
        <w:tc>
          <w:tcPr>
            <w:tcW w:w="6977" w:type="dxa"/>
          </w:tcPr>
          <w:p w14:paraId="30BC66CF" w14:textId="77777777" w:rsidR="00F83E7C" w:rsidRPr="00AC0FA4" w:rsidRDefault="00F83E7C" w:rsidP="00F83E7C">
            <w:pPr>
              <w:jc w:val="both"/>
              <w:rPr>
                <w:rFonts w:ascii="Times New Roman" w:hAnsi="Times New Roman" w:cs="Times New Roman"/>
              </w:rPr>
            </w:pPr>
            <w:r w:rsidRPr="00AC0FA4">
              <w:rPr>
                <w:rFonts w:ascii="Times New Roman" w:hAnsi="Times New Roman" w:cs="Times New Roman"/>
              </w:rPr>
              <w:t>Разходи за замяна на активи, които не водят до качествени или количествени изменения/подобрения на сградите, постройките, съоръженията и инсталациите.</w:t>
            </w:r>
          </w:p>
        </w:tc>
      </w:tr>
      <w:tr w:rsidR="00F83E7C" w:rsidRPr="00AC0FA4" w14:paraId="7DC4E7F2" w14:textId="77777777" w:rsidTr="00A634FD">
        <w:tc>
          <w:tcPr>
            <w:tcW w:w="2235" w:type="dxa"/>
          </w:tcPr>
          <w:p w14:paraId="72F08330" w14:textId="77777777" w:rsidR="00F83E7C" w:rsidRPr="00AC0FA4" w:rsidRDefault="00F83E7C" w:rsidP="00F83E7C">
            <w:pPr>
              <w:jc w:val="both"/>
              <w:rPr>
                <w:rFonts w:ascii="Times New Roman" w:hAnsi="Times New Roman" w:cs="Times New Roman"/>
                <w:b/>
              </w:rPr>
            </w:pPr>
            <w:r w:rsidRPr="00AC0FA4">
              <w:rPr>
                <w:rFonts w:ascii="Times New Roman" w:hAnsi="Times New Roman" w:cs="Times New Roman"/>
                <w:b/>
                <w:color w:val="000000"/>
              </w:rPr>
              <w:t>Обособена част от инвестицията</w:t>
            </w:r>
          </w:p>
        </w:tc>
        <w:tc>
          <w:tcPr>
            <w:tcW w:w="6977" w:type="dxa"/>
          </w:tcPr>
          <w:p w14:paraId="0FE5CBB7" w14:textId="77777777" w:rsidR="00F83E7C" w:rsidRPr="00AC0FA4" w:rsidRDefault="00F83E7C" w:rsidP="00F83E7C">
            <w:pPr>
              <w:jc w:val="both"/>
              <w:rPr>
                <w:rFonts w:ascii="Times New Roman" w:hAnsi="Times New Roman" w:cs="Times New Roman"/>
              </w:rPr>
            </w:pPr>
            <w:r w:rsidRPr="00AC0FA4">
              <w:rPr>
                <w:rFonts w:ascii="Times New Roman" w:hAnsi="Times New Roman" w:cs="Times New Roman"/>
              </w:rPr>
              <w:t>Завършен етап на изпълнение на инвестицията, който е обособен и е доведен до самостоятелна степен на завършеност.</w:t>
            </w:r>
          </w:p>
        </w:tc>
      </w:tr>
      <w:tr w:rsidR="00F83E7C" w:rsidRPr="00AC0FA4" w14:paraId="64EF5675" w14:textId="77777777" w:rsidTr="00A634FD">
        <w:tc>
          <w:tcPr>
            <w:tcW w:w="2235" w:type="dxa"/>
          </w:tcPr>
          <w:p w14:paraId="06031F29" w14:textId="77777777" w:rsidR="00F83E7C" w:rsidRPr="00AC0FA4" w:rsidRDefault="00F83E7C" w:rsidP="00F83E7C">
            <w:pPr>
              <w:jc w:val="both"/>
              <w:rPr>
                <w:rFonts w:ascii="Times New Roman" w:hAnsi="Times New Roman" w:cs="Times New Roman"/>
                <w:b/>
              </w:rPr>
            </w:pPr>
            <w:r w:rsidRPr="00AC0FA4">
              <w:rPr>
                <w:rFonts w:ascii="Times New Roman" w:hAnsi="Times New Roman" w:cs="Times New Roman"/>
                <w:b/>
                <w:color w:val="000000"/>
              </w:rPr>
              <w:t>Обществени услуги</w:t>
            </w:r>
          </w:p>
        </w:tc>
        <w:tc>
          <w:tcPr>
            <w:tcW w:w="6977" w:type="dxa"/>
          </w:tcPr>
          <w:p w14:paraId="40CF1F44" w14:textId="77777777" w:rsidR="00F83E7C" w:rsidRPr="00AC0FA4" w:rsidRDefault="00F83E7C" w:rsidP="00F83E7C">
            <w:pPr>
              <w:jc w:val="both"/>
              <w:rPr>
                <w:rFonts w:ascii="Times New Roman" w:hAnsi="Times New Roman" w:cs="Times New Roman"/>
              </w:rPr>
            </w:pPr>
            <w:r w:rsidRPr="00AC0FA4">
              <w:rPr>
                <w:rFonts w:ascii="Times New Roman" w:hAnsi="Times New Roman" w:cs="Times New Roman"/>
              </w:rPr>
              <w:t>Услуги, предоставяни за задоволяване на обществени потребности, по повод на чието предоставяне се извършват административни услуги в сгради, които се използват от администрацията на общината.</w:t>
            </w:r>
          </w:p>
        </w:tc>
      </w:tr>
      <w:tr w:rsidR="00F83E7C" w:rsidRPr="00AC0FA4" w14:paraId="39789F72" w14:textId="77777777" w:rsidTr="00A634FD">
        <w:tc>
          <w:tcPr>
            <w:tcW w:w="2235" w:type="dxa"/>
          </w:tcPr>
          <w:p w14:paraId="4CD4AFC7" w14:textId="77777777" w:rsidR="00F83E7C" w:rsidRPr="00AC0FA4" w:rsidRDefault="00F83E7C" w:rsidP="00F83E7C">
            <w:pPr>
              <w:jc w:val="both"/>
              <w:rPr>
                <w:rFonts w:ascii="Times New Roman" w:hAnsi="Times New Roman" w:cs="Times New Roman"/>
                <w:b/>
              </w:rPr>
            </w:pPr>
            <w:r w:rsidRPr="00AC0FA4">
              <w:rPr>
                <w:rFonts w:ascii="Times New Roman" w:hAnsi="Times New Roman" w:cs="Times New Roman"/>
                <w:b/>
                <w:color w:val="000000"/>
              </w:rPr>
              <w:t>Общински сгради</w:t>
            </w:r>
          </w:p>
        </w:tc>
        <w:tc>
          <w:tcPr>
            <w:tcW w:w="6977" w:type="dxa"/>
          </w:tcPr>
          <w:p w14:paraId="16684701" w14:textId="77777777" w:rsidR="00F83E7C" w:rsidRPr="00AC0FA4" w:rsidRDefault="00F83E7C" w:rsidP="00F83E7C">
            <w:pPr>
              <w:rPr>
                <w:rFonts w:ascii="Times New Roman" w:hAnsi="Times New Roman" w:cs="Times New Roman"/>
              </w:rPr>
            </w:pPr>
            <w:r w:rsidRPr="00AC0FA4">
              <w:rPr>
                <w:rFonts w:ascii="Times New Roman" w:hAnsi="Times New Roman" w:cs="Times New Roman"/>
              </w:rPr>
              <w:t xml:space="preserve">Имотите съгласно </w:t>
            </w:r>
            <w:hyperlink r:id="rId19" w:history="1">
              <w:r w:rsidRPr="00AC0FA4">
                <w:rPr>
                  <w:rFonts w:ascii="Times New Roman" w:hAnsi="Times New Roman" w:cs="Times New Roman"/>
                  <w:color w:val="000000"/>
                </w:rPr>
                <w:t>чл. 2, ал. 1 от Закона за общинската собственост</w:t>
              </w:r>
            </w:hyperlink>
            <w:r w:rsidRPr="00AC0FA4">
              <w:rPr>
                <w:rFonts w:ascii="Times New Roman" w:hAnsi="Times New Roman" w:cs="Times New Roman"/>
              </w:rPr>
              <w:t>.</w:t>
            </w:r>
          </w:p>
        </w:tc>
      </w:tr>
      <w:tr w:rsidR="00F83E7C" w:rsidRPr="00AC0FA4" w14:paraId="3A0EDD33" w14:textId="77777777" w:rsidTr="00A634FD">
        <w:tc>
          <w:tcPr>
            <w:tcW w:w="2235" w:type="dxa"/>
          </w:tcPr>
          <w:p w14:paraId="6389A716" w14:textId="77777777" w:rsidR="00F83E7C" w:rsidRPr="00AC0FA4" w:rsidRDefault="00F83E7C" w:rsidP="00F83E7C">
            <w:pPr>
              <w:jc w:val="both"/>
              <w:rPr>
                <w:rFonts w:ascii="Times New Roman" w:hAnsi="Times New Roman" w:cs="Times New Roman"/>
                <w:b/>
              </w:rPr>
            </w:pPr>
            <w:r w:rsidRPr="00AC0FA4">
              <w:rPr>
                <w:rFonts w:ascii="Times New Roman" w:hAnsi="Times New Roman" w:cs="Times New Roman"/>
                <w:b/>
                <w:color w:val="000000"/>
              </w:rPr>
              <w:t>Подмярка</w:t>
            </w:r>
          </w:p>
        </w:tc>
        <w:tc>
          <w:tcPr>
            <w:tcW w:w="6977" w:type="dxa"/>
          </w:tcPr>
          <w:p w14:paraId="32DBEC8E" w14:textId="77777777" w:rsidR="00F83E7C" w:rsidRPr="00AC0FA4" w:rsidRDefault="00F83E7C" w:rsidP="00F83E7C">
            <w:pPr>
              <w:jc w:val="both"/>
              <w:rPr>
                <w:rFonts w:ascii="Times New Roman" w:hAnsi="Times New Roman" w:cs="Times New Roman"/>
              </w:rPr>
            </w:pPr>
            <w:r w:rsidRPr="00AC0FA4">
              <w:rPr>
                <w:rFonts w:ascii="Times New Roman" w:hAnsi="Times New Roman" w:cs="Times New Roman"/>
              </w:rPr>
              <w:t>Съвкупност от дейности, спомагащи за прилагане приоритетите на ПРСР 2014 – 2020 г.</w:t>
            </w:r>
          </w:p>
        </w:tc>
      </w:tr>
      <w:tr w:rsidR="00F83E7C" w:rsidRPr="00AC0FA4" w14:paraId="2866C61F" w14:textId="77777777" w:rsidTr="00A634FD">
        <w:tc>
          <w:tcPr>
            <w:tcW w:w="2235" w:type="dxa"/>
          </w:tcPr>
          <w:p w14:paraId="6748D0A8" w14:textId="77777777" w:rsidR="00F83E7C" w:rsidRPr="00AC0FA4" w:rsidRDefault="00F83E7C" w:rsidP="00F83E7C">
            <w:pPr>
              <w:jc w:val="both"/>
              <w:rPr>
                <w:rFonts w:ascii="Times New Roman" w:hAnsi="Times New Roman" w:cs="Times New Roman"/>
                <w:b/>
              </w:rPr>
            </w:pPr>
            <w:r w:rsidRPr="00AC0FA4">
              <w:rPr>
                <w:rFonts w:ascii="Times New Roman" w:hAnsi="Times New Roman" w:cs="Times New Roman"/>
                <w:b/>
                <w:color w:val="000000"/>
              </w:rPr>
              <w:t>Площи за широко обществено ползване</w:t>
            </w:r>
          </w:p>
        </w:tc>
        <w:tc>
          <w:tcPr>
            <w:tcW w:w="6977" w:type="dxa"/>
          </w:tcPr>
          <w:p w14:paraId="6F79A2C8" w14:textId="77777777" w:rsidR="00F83E7C" w:rsidRPr="00AC0FA4" w:rsidRDefault="00F83E7C" w:rsidP="00F83E7C">
            <w:pPr>
              <w:jc w:val="both"/>
              <w:rPr>
                <w:rFonts w:ascii="Times New Roman" w:hAnsi="Times New Roman" w:cs="Times New Roman"/>
              </w:rPr>
            </w:pPr>
            <w:r w:rsidRPr="00AC0FA4">
              <w:rPr>
                <w:rFonts w:ascii="Times New Roman" w:hAnsi="Times New Roman" w:cs="Times New Roman"/>
              </w:rPr>
              <w:t>Паркове, градини, улично озеленяване и площади.</w:t>
            </w:r>
          </w:p>
        </w:tc>
      </w:tr>
      <w:tr w:rsidR="00F83E7C" w:rsidRPr="00AC0FA4" w14:paraId="4DD86151" w14:textId="77777777" w:rsidTr="00A634FD">
        <w:tc>
          <w:tcPr>
            <w:tcW w:w="2235" w:type="dxa"/>
          </w:tcPr>
          <w:p w14:paraId="09CB69A8" w14:textId="77777777" w:rsidR="00F83E7C" w:rsidRPr="00AC0FA4" w:rsidRDefault="00F83E7C" w:rsidP="00F83E7C">
            <w:pPr>
              <w:jc w:val="both"/>
              <w:rPr>
                <w:rFonts w:ascii="Times New Roman" w:hAnsi="Times New Roman" w:cs="Times New Roman"/>
                <w:b/>
              </w:rPr>
            </w:pPr>
            <w:r w:rsidRPr="00CE6FF2">
              <w:rPr>
                <w:rFonts w:ascii="Times New Roman" w:hAnsi="Times New Roman" w:cs="Times New Roman"/>
                <w:b/>
                <w:color w:val="000000"/>
              </w:rPr>
              <w:t>Площадка за игра</w:t>
            </w:r>
          </w:p>
        </w:tc>
        <w:tc>
          <w:tcPr>
            <w:tcW w:w="6977" w:type="dxa"/>
          </w:tcPr>
          <w:p w14:paraId="5BA11611" w14:textId="77777777" w:rsidR="00F83E7C" w:rsidRPr="00AC0FA4" w:rsidRDefault="00F83E7C" w:rsidP="00F83E7C">
            <w:pPr>
              <w:jc w:val="both"/>
              <w:rPr>
                <w:rFonts w:ascii="Times New Roman" w:hAnsi="Times New Roman" w:cs="Times New Roman"/>
              </w:rPr>
            </w:pPr>
            <w:r w:rsidRPr="00AC0FA4">
              <w:rPr>
                <w:rFonts w:ascii="Times New Roman" w:hAnsi="Times New Roman" w:cs="Times New Roman"/>
              </w:rPr>
              <w:t>Обществено достъпна открита площ, предназначена за индивидуални или групови игри, с подходящо за целта устройство, настилка и съоръжения за игра в зависимост от определената възрастова група на ползвателите.</w:t>
            </w:r>
          </w:p>
        </w:tc>
      </w:tr>
      <w:tr w:rsidR="00F83E7C" w:rsidRPr="00AC0FA4" w14:paraId="121B0862" w14:textId="77777777" w:rsidTr="00A634FD">
        <w:tc>
          <w:tcPr>
            <w:tcW w:w="2235" w:type="dxa"/>
          </w:tcPr>
          <w:p w14:paraId="011A43C9" w14:textId="77777777" w:rsidR="00F83E7C" w:rsidRPr="00AC0FA4" w:rsidRDefault="00F83E7C" w:rsidP="00F83E7C">
            <w:pPr>
              <w:jc w:val="both"/>
              <w:rPr>
                <w:rFonts w:ascii="Times New Roman" w:hAnsi="Times New Roman" w:cs="Times New Roman"/>
                <w:b/>
              </w:rPr>
            </w:pPr>
            <w:r w:rsidRPr="00AC0FA4">
              <w:rPr>
                <w:rFonts w:ascii="Times New Roman" w:hAnsi="Times New Roman" w:cs="Times New Roman"/>
                <w:b/>
                <w:color w:val="000000"/>
              </w:rPr>
              <w:t>Принос в натура</w:t>
            </w:r>
          </w:p>
        </w:tc>
        <w:tc>
          <w:tcPr>
            <w:tcW w:w="6977" w:type="dxa"/>
          </w:tcPr>
          <w:p w14:paraId="67A723F3" w14:textId="77777777" w:rsidR="00F83E7C" w:rsidRPr="00AC0FA4" w:rsidRDefault="00F83E7C" w:rsidP="00F83E7C">
            <w:pPr>
              <w:jc w:val="both"/>
              <w:rPr>
                <w:rFonts w:ascii="Times New Roman" w:hAnsi="Times New Roman" w:cs="Times New Roman"/>
              </w:rPr>
            </w:pPr>
            <w:r w:rsidRPr="00AC0FA4">
              <w:rPr>
                <w:rFonts w:ascii="Times New Roman" w:hAnsi="Times New Roman" w:cs="Times New Roman"/>
              </w:rPr>
              <w:t>Предоставяне на земя или друг недвижим имот, оборудване или суровини, проучване или професионална работа или неплатен доброволен труд, за които не са правени плащания, подкрепени от фактура или друг еквивалентен на фактура платежен документ.</w:t>
            </w:r>
          </w:p>
        </w:tc>
      </w:tr>
      <w:tr w:rsidR="00F83E7C" w:rsidRPr="00AC0FA4" w14:paraId="56765059" w14:textId="77777777" w:rsidTr="00A634FD">
        <w:tc>
          <w:tcPr>
            <w:tcW w:w="2235" w:type="dxa"/>
          </w:tcPr>
          <w:p w14:paraId="321D5425" w14:textId="77777777" w:rsidR="00F83E7C" w:rsidRPr="00AC0FA4" w:rsidRDefault="00F83E7C" w:rsidP="00F83E7C">
            <w:pPr>
              <w:jc w:val="both"/>
              <w:rPr>
                <w:rFonts w:ascii="Times New Roman" w:hAnsi="Times New Roman" w:cs="Times New Roman"/>
                <w:b/>
              </w:rPr>
            </w:pPr>
            <w:r w:rsidRPr="00AC0FA4">
              <w:rPr>
                <w:rFonts w:ascii="Times New Roman" w:hAnsi="Times New Roman" w:cs="Times New Roman"/>
                <w:b/>
                <w:color w:val="000000"/>
              </w:rPr>
              <w:t>Проверка на място</w:t>
            </w:r>
          </w:p>
        </w:tc>
        <w:tc>
          <w:tcPr>
            <w:tcW w:w="6977" w:type="dxa"/>
          </w:tcPr>
          <w:p w14:paraId="2A31E04A" w14:textId="77777777" w:rsidR="00F83E7C" w:rsidRPr="00AC0FA4" w:rsidRDefault="00F83E7C" w:rsidP="00F83E7C">
            <w:pPr>
              <w:jc w:val="both"/>
              <w:rPr>
                <w:rFonts w:ascii="Times New Roman" w:hAnsi="Times New Roman" w:cs="Times New Roman"/>
              </w:rPr>
            </w:pPr>
            <w:r w:rsidRPr="00AC0FA4">
              <w:rPr>
                <w:rFonts w:ascii="Times New Roman" w:hAnsi="Times New Roman" w:cs="Times New Roman"/>
              </w:rPr>
              <w:t xml:space="preserve">Проверка по смисъла на </w:t>
            </w:r>
            <w:hyperlink r:id="rId20" w:history="1">
              <w:r w:rsidRPr="00AC0FA4">
                <w:rPr>
                  <w:rFonts w:ascii="Times New Roman" w:hAnsi="Times New Roman" w:cs="Times New Roman"/>
                  <w:color w:val="000000"/>
                </w:rPr>
                <w:t>Регламент (ЕС) № 809/2014</w:t>
              </w:r>
            </w:hyperlink>
            <w:r w:rsidRPr="00AC0FA4">
              <w:rPr>
                <w:rFonts w:ascii="Times New Roman" w:hAnsi="Times New Roman" w:cs="Times New Roman"/>
              </w:rPr>
              <w:t>.</w:t>
            </w:r>
          </w:p>
        </w:tc>
      </w:tr>
      <w:tr w:rsidR="00F83E7C" w:rsidRPr="00AC0FA4" w14:paraId="198AC634" w14:textId="77777777" w:rsidTr="00A634FD">
        <w:tc>
          <w:tcPr>
            <w:tcW w:w="2235" w:type="dxa"/>
          </w:tcPr>
          <w:p w14:paraId="13F53B87" w14:textId="77777777" w:rsidR="00F83E7C" w:rsidRPr="00AC0FA4" w:rsidRDefault="00F83E7C" w:rsidP="00F83E7C">
            <w:pPr>
              <w:jc w:val="both"/>
              <w:rPr>
                <w:rFonts w:ascii="Times New Roman" w:hAnsi="Times New Roman" w:cs="Times New Roman"/>
                <w:b/>
              </w:rPr>
            </w:pPr>
            <w:r w:rsidRPr="00AC0FA4">
              <w:rPr>
                <w:rFonts w:ascii="Times New Roman" w:hAnsi="Times New Roman" w:cs="Times New Roman"/>
                <w:b/>
                <w:color w:val="000000"/>
              </w:rPr>
              <w:t>Проект</w:t>
            </w:r>
          </w:p>
        </w:tc>
        <w:tc>
          <w:tcPr>
            <w:tcW w:w="6977" w:type="dxa"/>
          </w:tcPr>
          <w:p w14:paraId="41F971AD" w14:textId="77777777" w:rsidR="00F83E7C" w:rsidRPr="00AC0FA4" w:rsidRDefault="00F83E7C" w:rsidP="00F83E7C">
            <w:pPr>
              <w:jc w:val="both"/>
              <w:rPr>
                <w:rFonts w:ascii="Times New Roman" w:hAnsi="Times New Roman" w:cs="Times New Roman"/>
              </w:rPr>
            </w:pPr>
            <w:r w:rsidRPr="00AC0FA4">
              <w:rPr>
                <w:rFonts w:ascii="Times New Roman" w:hAnsi="Times New Roman" w:cs="Times New Roman"/>
              </w:rPr>
              <w:t>Заявление за кандидатстване заедно с всички приложени към него документи, както и съвкупността от материални и нематериални активи и свързаните с тях разходи, заявени от кандидата и допустими за финансиране по ПРСР 2014 – 2020 г.</w:t>
            </w:r>
          </w:p>
        </w:tc>
      </w:tr>
      <w:tr w:rsidR="00F83E7C" w:rsidRPr="00AC0FA4" w14:paraId="514A66FE" w14:textId="77777777" w:rsidTr="00A634FD">
        <w:tc>
          <w:tcPr>
            <w:tcW w:w="2235" w:type="dxa"/>
          </w:tcPr>
          <w:p w14:paraId="41FE6891" w14:textId="247FA94A" w:rsidR="00F83E7C" w:rsidRPr="00AC0FA4" w:rsidRDefault="00F83E7C" w:rsidP="00F83E7C">
            <w:pPr>
              <w:jc w:val="both"/>
              <w:rPr>
                <w:rFonts w:ascii="Times New Roman" w:hAnsi="Times New Roman" w:cs="Times New Roman"/>
                <w:b/>
                <w:color w:val="000000"/>
              </w:rPr>
            </w:pPr>
            <w:r w:rsidRPr="007713C1">
              <w:rPr>
                <w:rFonts w:ascii="Times New Roman" w:hAnsi="Times New Roman" w:cs="Times New Roman"/>
                <w:b/>
              </w:rPr>
              <w:t xml:space="preserve">Проектно предложение </w:t>
            </w:r>
          </w:p>
        </w:tc>
        <w:tc>
          <w:tcPr>
            <w:tcW w:w="6977" w:type="dxa"/>
          </w:tcPr>
          <w:p w14:paraId="57FE492F" w14:textId="508E3A13" w:rsidR="00F83E7C" w:rsidRPr="00AC0FA4" w:rsidRDefault="00F83E7C" w:rsidP="00F83E7C">
            <w:pPr>
              <w:jc w:val="both"/>
              <w:rPr>
                <w:rFonts w:ascii="Times New Roman" w:hAnsi="Times New Roman" w:cs="Times New Roman"/>
              </w:rPr>
            </w:pPr>
            <w:r w:rsidRPr="007713C1">
              <w:rPr>
                <w:rFonts w:ascii="Times New Roman" w:hAnsi="Times New Roman" w:cs="Times New Roman"/>
              </w:rPr>
              <w:t>Предложение за предоставяне на безвъзмездна финансова помощ за изпълнението на определен проект, включващо формуляр за кандидатстване и други придружителни документи.</w:t>
            </w:r>
          </w:p>
        </w:tc>
      </w:tr>
      <w:tr w:rsidR="00F83E7C" w:rsidRPr="00AC0FA4" w14:paraId="33AC799E" w14:textId="77777777" w:rsidTr="00A634FD">
        <w:tc>
          <w:tcPr>
            <w:tcW w:w="2235" w:type="dxa"/>
          </w:tcPr>
          <w:p w14:paraId="7BE26FE2" w14:textId="77777777" w:rsidR="00F83E7C" w:rsidRPr="00AC0FA4" w:rsidRDefault="00F83E7C" w:rsidP="00F83E7C">
            <w:pPr>
              <w:jc w:val="both"/>
              <w:rPr>
                <w:rFonts w:ascii="Times New Roman" w:hAnsi="Times New Roman" w:cs="Times New Roman"/>
                <w:b/>
              </w:rPr>
            </w:pPr>
            <w:r w:rsidRPr="00AC0FA4">
              <w:rPr>
                <w:rFonts w:ascii="Times New Roman" w:hAnsi="Times New Roman" w:cs="Times New Roman"/>
                <w:b/>
                <w:color w:val="000000"/>
              </w:rPr>
              <w:lastRenderedPageBreak/>
              <w:t>Публична финансова помощ</w:t>
            </w:r>
          </w:p>
        </w:tc>
        <w:tc>
          <w:tcPr>
            <w:tcW w:w="6977" w:type="dxa"/>
          </w:tcPr>
          <w:p w14:paraId="38EB3DBE" w14:textId="77777777" w:rsidR="00F83E7C" w:rsidRPr="00AC0FA4" w:rsidRDefault="00F83E7C" w:rsidP="00F83E7C">
            <w:pPr>
              <w:jc w:val="both"/>
              <w:rPr>
                <w:rFonts w:ascii="Times New Roman" w:hAnsi="Times New Roman" w:cs="Times New Roman"/>
              </w:rPr>
            </w:pPr>
            <w:r w:rsidRPr="00AC0FA4">
              <w:rPr>
                <w:rFonts w:ascii="Times New Roman" w:hAnsi="Times New Roman" w:cs="Times New Roman"/>
              </w:rPr>
              <w:t>Всеки обществен дял във финансирането на дейности, източник на който е бюджетът на държавата, на регионалните или местните власти, на Европейската общност, както и всеки подобен разход.</w:t>
            </w:r>
            <w:r w:rsidRPr="00AC0FA4">
              <w:rPr>
                <w:rFonts w:ascii="Times New Roman" w:hAnsi="Times New Roman" w:cs="Times New Roman"/>
                <w:shd w:val="clear" w:color="auto" w:fill="FEFEFE"/>
              </w:rPr>
              <w:t xml:space="preserve"> Всеки дял във финансирането на дейности, чийто произход е бюджетът на обществени юридически лица или сдружения на една или повече регионални или местни власти, ще се разглежда като обществен дял.</w:t>
            </w:r>
          </w:p>
        </w:tc>
      </w:tr>
      <w:tr w:rsidR="00F83E7C" w:rsidRPr="00AC0FA4" w14:paraId="2985E8E9" w14:textId="77777777" w:rsidTr="00A634FD">
        <w:tc>
          <w:tcPr>
            <w:tcW w:w="2235" w:type="dxa"/>
          </w:tcPr>
          <w:p w14:paraId="7AC262D5" w14:textId="77777777" w:rsidR="00F83E7C" w:rsidRPr="00AC0FA4" w:rsidRDefault="00F83E7C" w:rsidP="00F83E7C">
            <w:pPr>
              <w:jc w:val="both"/>
              <w:rPr>
                <w:rFonts w:ascii="Times New Roman" w:hAnsi="Times New Roman" w:cs="Times New Roman"/>
                <w:b/>
              </w:rPr>
            </w:pPr>
            <w:r w:rsidRPr="00AC0FA4">
              <w:rPr>
                <w:rFonts w:ascii="Times New Roman" w:hAnsi="Times New Roman" w:cs="Times New Roman"/>
                <w:b/>
                <w:color w:val="000000"/>
              </w:rPr>
              <w:t>Разходи за консултантски услуги, свързани с подготовка и управление на проекта</w:t>
            </w:r>
          </w:p>
        </w:tc>
        <w:tc>
          <w:tcPr>
            <w:tcW w:w="6977" w:type="dxa"/>
          </w:tcPr>
          <w:p w14:paraId="0E568DAD" w14:textId="77777777" w:rsidR="00F83E7C" w:rsidRPr="00AC0FA4" w:rsidRDefault="00F83E7C" w:rsidP="00F83E7C">
            <w:pPr>
              <w:jc w:val="both"/>
              <w:rPr>
                <w:rFonts w:ascii="Times New Roman" w:hAnsi="Times New Roman" w:cs="Times New Roman"/>
              </w:rPr>
            </w:pPr>
            <w:r w:rsidRPr="00AC0FA4">
              <w:rPr>
                <w:rFonts w:ascii="Times New Roman" w:hAnsi="Times New Roman" w:cs="Times New Roman"/>
                <w:shd w:val="clear" w:color="auto" w:fill="FEFEFE"/>
              </w:rPr>
              <w:t>Разходи, извършени преди подаване на проектното предложение и такива по време на изпълнение на проекта, които включват подготовка на проектното предложение и подготовка на искането за плащане, включително отчитане и управление на проекта.</w:t>
            </w:r>
          </w:p>
        </w:tc>
      </w:tr>
      <w:tr w:rsidR="00F83E7C" w:rsidRPr="00AC0FA4" w14:paraId="68FD7C65" w14:textId="77777777" w:rsidTr="00A634FD">
        <w:tc>
          <w:tcPr>
            <w:tcW w:w="2235" w:type="dxa"/>
          </w:tcPr>
          <w:p w14:paraId="1144FBED" w14:textId="77777777" w:rsidR="00F83E7C" w:rsidRPr="00CE6FF2" w:rsidRDefault="00F83E7C" w:rsidP="00F83E7C">
            <w:pPr>
              <w:jc w:val="both"/>
              <w:rPr>
                <w:rFonts w:ascii="Times New Roman" w:hAnsi="Times New Roman" w:cs="Times New Roman"/>
                <w:b/>
              </w:rPr>
            </w:pPr>
            <w:r w:rsidRPr="00CE6FF2">
              <w:rPr>
                <w:rFonts w:ascii="Times New Roman" w:hAnsi="Times New Roman" w:cs="Times New Roman"/>
                <w:b/>
                <w:color w:val="000000"/>
              </w:rPr>
              <w:t>Реставрация</w:t>
            </w:r>
          </w:p>
        </w:tc>
        <w:tc>
          <w:tcPr>
            <w:tcW w:w="6977" w:type="dxa"/>
          </w:tcPr>
          <w:p w14:paraId="1E817F4D" w14:textId="77777777" w:rsidR="00F83E7C" w:rsidRPr="00CE6FF2" w:rsidRDefault="00F83E7C" w:rsidP="00F83E7C">
            <w:pPr>
              <w:jc w:val="both"/>
              <w:rPr>
                <w:rFonts w:ascii="Times New Roman" w:hAnsi="Times New Roman" w:cs="Times New Roman"/>
              </w:rPr>
            </w:pPr>
            <w:r w:rsidRPr="00CE6FF2">
              <w:rPr>
                <w:rFonts w:ascii="Times New Roman" w:hAnsi="Times New Roman" w:cs="Times New Roman"/>
              </w:rPr>
              <w:t>Системен процес от дейности, които целят предотвратяване на разрушаването на обекти, стабилизация на състоянието им, както и улесняване на тяхното възприемане и оценка при максимално запазване на автентичността им.</w:t>
            </w:r>
          </w:p>
        </w:tc>
      </w:tr>
      <w:tr w:rsidR="00F83E7C" w:rsidRPr="00AC0FA4" w14:paraId="0773D17B" w14:textId="77777777" w:rsidTr="00A634FD">
        <w:tc>
          <w:tcPr>
            <w:tcW w:w="2235" w:type="dxa"/>
          </w:tcPr>
          <w:p w14:paraId="5F9A1D36" w14:textId="77777777" w:rsidR="00F83E7C" w:rsidRPr="00AC0FA4" w:rsidRDefault="00F83E7C" w:rsidP="00F83E7C">
            <w:pPr>
              <w:jc w:val="both"/>
              <w:rPr>
                <w:rFonts w:ascii="Times New Roman" w:hAnsi="Times New Roman" w:cs="Times New Roman"/>
                <w:b/>
              </w:rPr>
            </w:pPr>
            <w:r w:rsidRPr="00AC0FA4">
              <w:rPr>
                <w:rFonts w:ascii="Times New Roman" w:hAnsi="Times New Roman" w:cs="Times New Roman"/>
                <w:b/>
                <w:color w:val="000000"/>
              </w:rPr>
              <w:t>Реф</w:t>
            </w:r>
            <w:r>
              <w:rPr>
                <w:rFonts w:ascii="Times New Roman" w:hAnsi="Times New Roman" w:cs="Times New Roman"/>
                <w:b/>
                <w:color w:val="000000"/>
              </w:rPr>
              <w:t>ерентен разход</w:t>
            </w:r>
          </w:p>
        </w:tc>
        <w:tc>
          <w:tcPr>
            <w:tcW w:w="6977" w:type="dxa"/>
          </w:tcPr>
          <w:p w14:paraId="365F7763" w14:textId="77777777" w:rsidR="00F83E7C" w:rsidRPr="00AC0FA4" w:rsidRDefault="00F83E7C" w:rsidP="00F83E7C">
            <w:pPr>
              <w:jc w:val="both"/>
              <w:rPr>
                <w:rFonts w:ascii="Times New Roman" w:hAnsi="Times New Roman" w:cs="Times New Roman"/>
              </w:rPr>
            </w:pPr>
            <w:r w:rsidRPr="00AC0FA4">
              <w:rPr>
                <w:rFonts w:ascii="Times New Roman" w:hAnsi="Times New Roman" w:cs="Times New Roman"/>
              </w:rPr>
              <w:t xml:space="preserve">Цени и пределни стойности, ползвани от </w:t>
            </w:r>
            <w:r>
              <w:rPr>
                <w:rFonts w:ascii="Times New Roman" w:hAnsi="Times New Roman" w:cs="Times New Roman"/>
              </w:rPr>
              <w:t xml:space="preserve">ДФЗ - </w:t>
            </w:r>
            <w:r w:rsidRPr="00AC0FA4">
              <w:rPr>
                <w:rFonts w:ascii="Times New Roman" w:hAnsi="Times New Roman" w:cs="Times New Roman"/>
              </w:rPr>
              <w:t>РА за сравняване при определяне основателността на разходите за различни инвестиции.</w:t>
            </w:r>
          </w:p>
        </w:tc>
      </w:tr>
      <w:tr w:rsidR="00F83E7C" w:rsidRPr="00AC0FA4" w14:paraId="5FE9DD17" w14:textId="77777777" w:rsidTr="00A634FD">
        <w:tc>
          <w:tcPr>
            <w:tcW w:w="2235" w:type="dxa"/>
          </w:tcPr>
          <w:p w14:paraId="01381E39" w14:textId="77777777" w:rsidR="00F83E7C" w:rsidRPr="00AC0FA4" w:rsidRDefault="00F83E7C" w:rsidP="00F83E7C">
            <w:pPr>
              <w:jc w:val="both"/>
              <w:rPr>
                <w:rFonts w:ascii="Times New Roman" w:hAnsi="Times New Roman" w:cs="Times New Roman"/>
                <w:b/>
                <w:color w:val="000000"/>
              </w:rPr>
            </w:pPr>
            <w:r w:rsidRPr="00187C11">
              <w:rPr>
                <w:rFonts w:ascii="Times New Roman" w:hAnsi="Times New Roman" w:cs="Times New Roman"/>
                <w:b/>
              </w:rPr>
              <w:t>Спортна инфраструктура</w:t>
            </w:r>
          </w:p>
        </w:tc>
        <w:tc>
          <w:tcPr>
            <w:tcW w:w="6977" w:type="dxa"/>
          </w:tcPr>
          <w:p w14:paraId="60EC2F92" w14:textId="77777777" w:rsidR="00F83E7C" w:rsidRPr="00AC0FA4" w:rsidRDefault="00F83E7C" w:rsidP="00F83E7C">
            <w:pPr>
              <w:jc w:val="both"/>
              <w:rPr>
                <w:rFonts w:ascii="Times New Roman" w:hAnsi="Times New Roman" w:cs="Times New Roman"/>
              </w:rPr>
            </w:pPr>
            <w:r w:rsidRPr="00CE6FF2">
              <w:rPr>
                <w:rFonts w:ascii="Times New Roman" w:hAnsi="Times New Roman" w:cs="Times New Roman"/>
              </w:rPr>
              <w:t xml:space="preserve">Обществено достъпни открити площи, </w:t>
            </w:r>
            <w:r w:rsidRPr="00CE6FF2">
              <w:rPr>
                <w:rFonts w:ascii="Times New Roman" w:hAnsi="Times New Roman" w:cs="Times New Roman"/>
                <w:color w:val="000000"/>
                <w:lang w:eastAsia="bg-BG"/>
              </w:rPr>
              <w:t xml:space="preserve">предназначени за индивидуални или групови игри, с подходящо за целта устройство, настилка и съоръжения за игра в зависимост от определената възрастова група на ползвателите, които могат да бъдат </w:t>
            </w:r>
            <w:r>
              <w:rPr>
                <w:rFonts w:ascii="Times New Roman" w:hAnsi="Times New Roman" w:cs="Times New Roman"/>
                <w:color w:val="000000"/>
                <w:lang w:eastAsia="bg-BG"/>
              </w:rPr>
              <w:t xml:space="preserve">един обект: </w:t>
            </w:r>
            <w:r w:rsidRPr="00CE6FF2">
              <w:rPr>
                <w:rFonts w:ascii="Times New Roman" w:hAnsi="Times New Roman" w:cs="Times New Roman"/>
                <w:color w:val="000000"/>
                <w:lang w:eastAsia="bg-BG"/>
              </w:rPr>
              <w:t>футболн</w:t>
            </w:r>
            <w:r>
              <w:rPr>
                <w:rFonts w:ascii="Times New Roman" w:hAnsi="Times New Roman" w:cs="Times New Roman"/>
                <w:color w:val="000000"/>
                <w:lang w:eastAsia="bg-BG"/>
              </w:rPr>
              <w:t>о</w:t>
            </w:r>
            <w:r w:rsidRPr="00CE6FF2">
              <w:rPr>
                <w:rFonts w:ascii="Times New Roman" w:hAnsi="Times New Roman" w:cs="Times New Roman"/>
                <w:color w:val="000000"/>
                <w:lang w:eastAsia="bg-BG"/>
              </w:rPr>
              <w:t xml:space="preserve"> игрищ</w:t>
            </w:r>
            <w:r>
              <w:rPr>
                <w:rFonts w:ascii="Times New Roman" w:hAnsi="Times New Roman" w:cs="Times New Roman"/>
                <w:color w:val="000000"/>
                <w:lang w:eastAsia="bg-BG"/>
              </w:rPr>
              <w:t>е</w:t>
            </w:r>
            <w:r w:rsidRPr="00CE6FF2">
              <w:rPr>
                <w:rFonts w:ascii="Times New Roman" w:hAnsi="Times New Roman" w:cs="Times New Roman"/>
                <w:color w:val="000000"/>
                <w:lang w:eastAsia="bg-BG"/>
              </w:rPr>
              <w:t xml:space="preserve"> на малко поле, </w:t>
            </w:r>
            <w:r w:rsidRPr="00CE6FF2">
              <w:rPr>
                <w:rFonts w:ascii="Times New Roman" w:hAnsi="Times New Roman" w:cs="Times New Roman"/>
              </w:rPr>
              <w:t>волейболн</w:t>
            </w:r>
            <w:r>
              <w:rPr>
                <w:rFonts w:ascii="Times New Roman" w:hAnsi="Times New Roman" w:cs="Times New Roman"/>
              </w:rPr>
              <w:t>о</w:t>
            </w:r>
            <w:r w:rsidRPr="00CE6FF2">
              <w:rPr>
                <w:rFonts w:ascii="Times New Roman" w:hAnsi="Times New Roman" w:cs="Times New Roman"/>
              </w:rPr>
              <w:t>, баскетболн</w:t>
            </w:r>
            <w:r>
              <w:rPr>
                <w:rFonts w:ascii="Times New Roman" w:hAnsi="Times New Roman" w:cs="Times New Roman"/>
              </w:rPr>
              <w:t>о</w:t>
            </w:r>
            <w:r w:rsidRPr="00CE6FF2">
              <w:rPr>
                <w:rFonts w:ascii="Times New Roman" w:hAnsi="Times New Roman" w:cs="Times New Roman"/>
              </w:rPr>
              <w:t>, хандбалн</w:t>
            </w:r>
            <w:r>
              <w:rPr>
                <w:rFonts w:ascii="Times New Roman" w:hAnsi="Times New Roman" w:cs="Times New Roman"/>
              </w:rPr>
              <w:t>о</w:t>
            </w:r>
            <w:r w:rsidRPr="00CE6FF2">
              <w:rPr>
                <w:rFonts w:ascii="Times New Roman" w:hAnsi="Times New Roman" w:cs="Times New Roman"/>
              </w:rPr>
              <w:t xml:space="preserve"> игрищ</w:t>
            </w:r>
            <w:r>
              <w:rPr>
                <w:rFonts w:ascii="Times New Roman" w:hAnsi="Times New Roman" w:cs="Times New Roman"/>
              </w:rPr>
              <w:t>е</w:t>
            </w:r>
            <w:r w:rsidRPr="00CE6FF2">
              <w:rPr>
                <w:rFonts w:ascii="Times New Roman" w:hAnsi="Times New Roman" w:cs="Times New Roman"/>
              </w:rPr>
              <w:t>, площадк</w:t>
            </w:r>
            <w:r>
              <w:rPr>
                <w:rFonts w:ascii="Times New Roman" w:hAnsi="Times New Roman" w:cs="Times New Roman"/>
              </w:rPr>
              <w:t>а</w:t>
            </w:r>
            <w:r w:rsidRPr="00CE6FF2">
              <w:rPr>
                <w:rFonts w:ascii="Times New Roman" w:hAnsi="Times New Roman" w:cs="Times New Roman"/>
              </w:rPr>
              <w:t xml:space="preserve"> за скейтборд и ролери и площадк</w:t>
            </w:r>
            <w:r>
              <w:rPr>
                <w:rFonts w:ascii="Times New Roman" w:hAnsi="Times New Roman" w:cs="Times New Roman"/>
              </w:rPr>
              <w:t>а</w:t>
            </w:r>
            <w:r w:rsidRPr="00CE6FF2">
              <w:rPr>
                <w:rFonts w:ascii="Times New Roman" w:hAnsi="Times New Roman" w:cs="Times New Roman"/>
              </w:rPr>
              <w:t xml:space="preserve"> за игра</w:t>
            </w:r>
            <w:r>
              <w:rPr>
                <w:rFonts w:ascii="Times New Roman" w:hAnsi="Times New Roman" w:cs="Times New Roman"/>
              </w:rPr>
              <w:t>.</w:t>
            </w:r>
          </w:p>
        </w:tc>
      </w:tr>
      <w:tr w:rsidR="00F83E7C" w:rsidRPr="00AC0FA4" w14:paraId="21664F69" w14:textId="77777777" w:rsidTr="00A634FD">
        <w:tc>
          <w:tcPr>
            <w:tcW w:w="2235" w:type="dxa"/>
          </w:tcPr>
          <w:p w14:paraId="29D3939F" w14:textId="77777777" w:rsidR="00F83E7C" w:rsidRPr="00AC0FA4" w:rsidRDefault="00F83E7C" w:rsidP="00F83E7C">
            <w:pPr>
              <w:jc w:val="both"/>
              <w:rPr>
                <w:rFonts w:ascii="Times New Roman" w:hAnsi="Times New Roman" w:cs="Times New Roman"/>
                <w:b/>
                <w:color w:val="000000"/>
              </w:rPr>
            </w:pPr>
            <w:r w:rsidRPr="00AC0FA4">
              <w:rPr>
                <w:rFonts w:ascii="Times New Roman" w:hAnsi="Times New Roman" w:cs="Times New Roman"/>
                <w:b/>
                <w:color w:val="000000"/>
              </w:rPr>
              <w:t>Съпоставими оферти</w:t>
            </w:r>
          </w:p>
        </w:tc>
        <w:tc>
          <w:tcPr>
            <w:tcW w:w="6977" w:type="dxa"/>
          </w:tcPr>
          <w:p w14:paraId="34D3138E" w14:textId="77777777" w:rsidR="00F83E7C" w:rsidRPr="00AC0FA4" w:rsidRDefault="00F83E7C" w:rsidP="00F83E7C">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 xml:space="preserve">Оферти, които отговарят на запитването за оферта на кандидата и съдържат: </w:t>
            </w:r>
          </w:p>
          <w:p w14:paraId="20A1EB6E" w14:textId="77777777" w:rsidR="00F83E7C" w:rsidRPr="00AC0FA4" w:rsidRDefault="00F83E7C" w:rsidP="00F83E7C">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а</w:t>
            </w:r>
            <w:r w:rsidRPr="00AC0FA4">
              <w:rPr>
                <w:rFonts w:ascii="Times New Roman" w:eastAsia="Times New Roman" w:hAnsi="Times New Roman" w:cs="Times New Roman"/>
                <w:color w:val="000000"/>
                <w:lang w:eastAsia="bg-BG"/>
              </w:rPr>
              <w:t>) общ капацитет на оборудването – в случаите, когато се кандидатства за разходи за закупуване на оборудване, съставени от различни съоръжения и/или оборудване;</w:t>
            </w:r>
          </w:p>
          <w:p w14:paraId="7ED1A151" w14:textId="77777777" w:rsidR="00F83E7C" w:rsidRPr="00AC0FA4" w:rsidRDefault="00F83E7C" w:rsidP="00F83E7C">
            <w:pPr>
              <w:jc w:val="both"/>
              <w:rPr>
                <w:rFonts w:ascii="Times New Roman" w:eastAsia="Times New Roman" w:hAnsi="Times New Roman" w:cs="Times New Roman"/>
                <w:color w:val="000000"/>
                <w:lang w:eastAsia="bg-BG"/>
              </w:rPr>
            </w:pPr>
            <w:r>
              <w:rPr>
                <w:rFonts w:ascii="Times New Roman" w:eastAsia="Times New Roman" w:hAnsi="Times New Roman" w:cs="Times New Roman"/>
                <w:color w:val="000000"/>
                <w:lang w:eastAsia="bg-BG"/>
              </w:rPr>
              <w:t>б</w:t>
            </w:r>
            <w:r w:rsidRPr="00AC0FA4">
              <w:rPr>
                <w:rFonts w:ascii="Times New Roman" w:eastAsia="Times New Roman" w:hAnsi="Times New Roman" w:cs="Times New Roman"/>
                <w:color w:val="000000"/>
                <w:lang w:eastAsia="bg-BG"/>
              </w:rPr>
              <w:t>) количествено-стойностни сметки – в случаите, когато се кандидатства за разходи за извършване на строително-монтажни работи.</w:t>
            </w:r>
          </w:p>
          <w:p w14:paraId="4B268FC5" w14:textId="77777777" w:rsidR="00F83E7C" w:rsidRPr="00AC0FA4" w:rsidRDefault="00F83E7C" w:rsidP="00F83E7C">
            <w:pPr>
              <w:jc w:val="both"/>
              <w:rPr>
                <w:rFonts w:ascii="Times New Roman" w:hAnsi="Times New Roman" w:cs="Times New Roman"/>
              </w:rPr>
            </w:pPr>
          </w:p>
        </w:tc>
      </w:tr>
      <w:tr w:rsidR="00F83E7C" w:rsidRPr="00AC0FA4" w14:paraId="52F0DA88" w14:textId="77777777" w:rsidTr="00A634FD">
        <w:tc>
          <w:tcPr>
            <w:tcW w:w="2235" w:type="dxa"/>
          </w:tcPr>
          <w:p w14:paraId="6D0136A0" w14:textId="77777777" w:rsidR="00F83E7C" w:rsidRPr="00AC0FA4" w:rsidRDefault="00F83E7C" w:rsidP="00F83E7C">
            <w:pPr>
              <w:jc w:val="both"/>
              <w:rPr>
                <w:rFonts w:ascii="Times New Roman" w:hAnsi="Times New Roman" w:cs="Times New Roman"/>
                <w:b/>
                <w:color w:val="000000"/>
              </w:rPr>
            </w:pPr>
            <w:r w:rsidRPr="00AC0FA4">
              <w:rPr>
                <w:rFonts w:ascii="Times New Roman" w:hAnsi="Times New Roman" w:cs="Times New Roman"/>
                <w:b/>
                <w:color w:val="000000"/>
              </w:rPr>
              <w:t>Текущ ремонт</w:t>
            </w:r>
          </w:p>
        </w:tc>
        <w:tc>
          <w:tcPr>
            <w:tcW w:w="6977" w:type="dxa"/>
          </w:tcPr>
          <w:p w14:paraId="62997CE7" w14:textId="77777777" w:rsidR="00F83E7C" w:rsidRPr="00AC0FA4" w:rsidRDefault="00F83E7C" w:rsidP="00F83E7C">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Подобряването и поддържането в изправност на сградите, постройките, съоръженията и инсталациите, както и вътрешни преустройства, при които не се:</w:t>
            </w:r>
          </w:p>
          <w:p w14:paraId="35598F99" w14:textId="77777777" w:rsidR="00F83E7C" w:rsidRPr="00AC0FA4" w:rsidRDefault="00F83E7C" w:rsidP="00F83E7C">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а) засяга конструкцията на сградата;</w:t>
            </w:r>
          </w:p>
          <w:p w14:paraId="47E6A6B7" w14:textId="77777777" w:rsidR="00F83E7C" w:rsidRPr="00AC0FA4" w:rsidRDefault="00F83E7C" w:rsidP="00F83E7C">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б) извършват дейности, като премахване, преместване на съществуващи зидове и направа на отвори в тях, когато засягат конструкцията на сградата;</w:t>
            </w:r>
          </w:p>
          <w:p w14:paraId="769694EA" w14:textId="77777777" w:rsidR="00F83E7C" w:rsidRPr="00AC0FA4" w:rsidRDefault="00F83E7C" w:rsidP="00F83E7C">
            <w:pPr>
              <w:jc w:val="both"/>
              <w:rPr>
                <w:rFonts w:ascii="Times New Roman" w:eastAsia="Times New Roman" w:hAnsi="Times New Roman" w:cs="Times New Roman"/>
                <w:color w:val="000000"/>
                <w:lang w:eastAsia="bg-BG"/>
              </w:rPr>
            </w:pPr>
            <w:r w:rsidRPr="00AC0FA4">
              <w:rPr>
                <w:rFonts w:ascii="Times New Roman" w:eastAsia="Times New Roman" w:hAnsi="Times New Roman" w:cs="Times New Roman"/>
                <w:color w:val="000000"/>
                <w:lang w:eastAsia="bg-BG"/>
              </w:rPr>
              <w:t>в) променя предназначението на помещенията и натоварванията в тях.</w:t>
            </w:r>
          </w:p>
          <w:p w14:paraId="09DBDE6E" w14:textId="77777777" w:rsidR="00F83E7C" w:rsidRPr="00AC0FA4" w:rsidRDefault="00F83E7C" w:rsidP="00F83E7C">
            <w:pPr>
              <w:jc w:val="both"/>
              <w:rPr>
                <w:rFonts w:ascii="Times New Roman" w:hAnsi="Times New Roman" w:cs="Times New Roman"/>
              </w:rPr>
            </w:pPr>
          </w:p>
        </w:tc>
      </w:tr>
      <w:tr w:rsidR="00F83E7C" w:rsidRPr="00AC0FA4" w14:paraId="273634A7" w14:textId="77777777" w:rsidTr="00A634FD">
        <w:tc>
          <w:tcPr>
            <w:tcW w:w="2235" w:type="dxa"/>
          </w:tcPr>
          <w:p w14:paraId="7CFC7290" w14:textId="77777777" w:rsidR="00F83E7C" w:rsidRPr="00AC0FA4" w:rsidRDefault="00F83E7C" w:rsidP="00F83E7C">
            <w:pPr>
              <w:jc w:val="both"/>
              <w:rPr>
                <w:rFonts w:ascii="Times New Roman" w:hAnsi="Times New Roman" w:cs="Times New Roman"/>
                <w:b/>
              </w:rPr>
            </w:pPr>
            <w:r w:rsidRPr="00AC0FA4">
              <w:rPr>
                <w:rFonts w:ascii="Times New Roman" w:hAnsi="Times New Roman" w:cs="Times New Roman"/>
                <w:b/>
                <w:color w:val="000000"/>
              </w:rPr>
              <w:lastRenderedPageBreak/>
              <w:t>Терен</w:t>
            </w:r>
          </w:p>
        </w:tc>
        <w:tc>
          <w:tcPr>
            <w:tcW w:w="6977" w:type="dxa"/>
          </w:tcPr>
          <w:p w14:paraId="7BC3F260" w14:textId="77777777" w:rsidR="00F83E7C" w:rsidRPr="00AC0FA4" w:rsidRDefault="00F83E7C" w:rsidP="00F83E7C">
            <w:pPr>
              <w:jc w:val="both"/>
              <w:rPr>
                <w:rFonts w:ascii="Times New Roman" w:hAnsi="Times New Roman" w:cs="Times New Roman"/>
              </w:rPr>
            </w:pPr>
            <w:r w:rsidRPr="00AC0FA4">
              <w:rPr>
                <w:rFonts w:ascii="Times New Roman" w:hAnsi="Times New Roman" w:cs="Times New Roman"/>
              </w:rPr>
              <w:t>Част от земната повърхност, за която с инвестиционен проект се предвиждат дейности по устройство – застрояване, озеленяване и благоустрояване.</w:t>
            </w:r>
          </w:p>
        </w:tc>
      </w:tr>
      <w:tr w:rsidR="00F83E7C" w:rsidRPr="00AC0FA4" w14:paraId="3908A4C8" w14:textId="77777777" w:rsidTr="00A634FD">
        <w:tc>
          <w:tcPr>
            <w:tcW w:w="2235" w:type="dxa"/>
          </w:tcPr>
          <w:p w14:paraId="658EB42C" w14:textId="77777777" w:rsidR="00F83E7C" w:rsidRPr="00AC0FA4" w:rsidRDefault="00F83E7C" w:rsidP="00F83E7C">
            <w:pPr>
              <w:jc w:val="both"/>
              <w:rPr>
                <w:rFonts w:ascii="Times New Roman" w:hAnsi="Times New Roman" w:cs="Times New Roman"/>
                <w:b/>
              </w:rPr>
            </w:pPr>
            <w:r w:rsidRPr="00AC0FA4">
              <w:rPr>
                <w:rFonts w:ascii="Times New Roman" w:hAnsi="Times New Roman" w:cs="Times New Roman"/>
                <w:b/>
                <w:color w:val="000000"/>
              </w:rPr>
              <w:t>Техническа спецификация</w:t>
            </w:r>
          </w:p>
        </w:tc>
        <w:tc>
          <w:tcPr>
            <w:tcW w:w="6977" w:type="dxa"/>
          </w:tcPr>
          <w:p w14:paraId="2EA2DD18" w14:textId="77777777" w:rsidR="00F83E7C" w:rsidRPr="00AC0FA4" w:rsidRDefault="00F83E7C" w:rsidP="00F83E7C">
            <w:pPr>
              <w:jc w:val="both"/>
              <w:rPr>
                <w:rFonts w:ascii="Times New Roman" w:hAnsi="Times New Roman" w:cs="Times New Roman"/>
              </w:rPr>
            </w:pPr>
            <w:r w:rsidRPr="00AC0FA4">
              <w:rPr>
                <w:rFonts w:ascii="Times New Roman" w:hAnsi="Times New Roman" w:cs="Times New Roman"/>
              </w:rPr>
              <w:t>Документ, в който се определят изисквания към характеристики на стоката, услугата или строителството.</w:t>
            </w:r>
          </w:p>
        </w:tc>
      </w:tr>
      <w:tr w:rsidR="00F83E7C" w:rsidRPr="00AC0FA4" w14:paraId="261E5FC1" w14:textId="77777777" w:rsidTr="00A634FD">
        <w:tc>
          <w:tcPr>
            <w:tcW w:w="2235" w:type="dxa"/>
          </w:tcPr>
          <w:p w14:paraId="1BA655F0" w14:textId="77777777" w:rsidR="00F83E7C" w:rsidRPr="00AC0FA4" w:rsidRDefault="00F83E7C" w:rsidP="00F83E7C">
            <w:pPr>
              <w:jc w:val="both"/>
              <w:rPr>
                <w:rFonts w:ascii="Times New Roman" w:hAnsi="Times New Roman" w:cs="Times New Roman"/>
                <w:b/>
              </w:rPr>
            </w:pPr>
            <w:r w:rsidRPr="00AC0FA4">
              <w:rPr>
                <w:rFonts w:ascii="Times New Roman" w:hAnsi="Times New Roman" w:cs="Times New Roman"/>
                <w:b/>
                <w:color w:val="000000"/>
              </w:rPr>
              <w:t>Тротоар</w:t>
            </w:r>
          </w:p>
        </w:tc>
        <w:tc>
          <w:tcPr>
            <w:tcW w:w="6977" w:type="dxa"/>
          </w:tcPr>
          <w:p w14:paraId="573BA463" w14:textId="77777777" w:rsidR="00F83E7C" w:rsidRPr="00AC0FA4" w:rsidRDefault="00F83E7C" w:rsidP="00F83E7C">
            <w:pPr>
              <w:jc w:val="both"/>
              <w:rPr>
                <w:rFonts w:ascii="Times New Roman" w:hAnsi="Times New Roman" w:cs="Times New Roman"/>
              </w:rPr>
            </w:pPr>
            <w:r w:rsidRPr="00AC0FA4">
              <w:rPr>
                <w:rFonts w:ascii="Times New Roman" w:hAnsi="Times New Roman" w:cs="Times New Roman"/>
              </w:rPr>
              <w:t>Изградена, оградена или очертана с пътна маркировка надлъжна част от пътя или улицата, ограничаваща платното за движение и предназначена само за движение на пешеходци.</w:t>
            </w:r>
          </w:p>
        </w:tc>
      </w:tr>
      <w:tr w:rsidR="00F83E7C" w:rsidRPr="00AC0FA4" w14:paraId="12B85A69" w14:textId="77777777" w:rsidTr="00A634FD">
        <w:tc>
          <w:tcPr>
            <w:tcW w:w="2235" w:type="dxa"/>
          </w:tcPr>
          <w:p w14:paraId="764C3744" w14:textId="77777777" w:rsidR="00F83E7C" w:rsidRPr="00AC0FA4" w:rsidRDefault="00F83E7C" w:rsidP="00F83E7C">
            <w:pPr>
              <w:jc w:val="both"/>
              <w:rPr>
                <w:rFonts w:ascii="Times New Roman" w:hAnsi="Times New Roman" w:cs="Times New Roman"/>
                <w:b/>
                <w:color w:val="000000"/>
              </w:rPr>
            </w:pPr>
            <w:r w:rsidRPr="00AC0FA4">
              <w:rPr>
                <w:rFonts w:ascii="Times New Roman" w:hAnsi="Times New Roman" w:cs="Times New Roman"/>
                <w:b/>
                <w:color w:val="000000"/>
              </w:rPr>
              <w:t>Улица</w:t>
            </w:r>
          </w:p>
        </w:tc>
        <w:tc>
          <w:tcPr>
            <w:tcW w:w="6977" w:type="dxa"/>
          </w:tcPr>
          <w:p w14:paraId="64F128D5" w14:textId="77777777" w:rsidR="00F83E7C" w:rsidRPr="00AC0FA4" w:rsidRDefault="00F83E7C" w:rsidP="00F83E7C">
            <w:pPr>
              <w:jc w:val="both"/>
              <w:rPr>
                <w:rFonts w:ascii="Times New Roman" w:hAnsi="Times New Roman" w:cs="Times New Roman"/>
              </w:rPr>
            </w:pPr>
            <w:r w:rsidRPr="00AC0FA4">
              <w:rPr>
                <w:rFonts w:ascii="Times New Roman" w:hAnsi="Times New Roman" w:cs="Times New Roman"/>
              </w:rPr>
              <w:t xml:space="preserve">Част от комуникационно-транспортната система на урбанизираните територии, която обхваща уличната мрежа съгласно </w:t>
            </w:r>
            <w:hyperlink r:id="rId21" w:history="1">
              <w:r w:rsidRPr="00AC0FA4">
                <w:rPr>
                  <w:rFonts w:ascii="Times New Roman" w:hAnsi="Times New Roman" w:cs="Times New Roman"/>
                  <w:color w:val="000000"/>
                </w:rPr>
                <w:t>Наредба № 2 от 2004 г. за планиране и проектиране на комуникационно-транспортните системи на урбанизираните територии</w:t>
              </w:r>
            </w:hyperlink>
            <w:r w:rsidRPr="00AC0FA4">
              <w:rPr>
                <w:rFonts w:ascii="Times New Roman" w:hAnsi="Times New Roman" w:cs="Times New Roman"/>
              </w:rPr>
              <w:t xml:space="preserve"> (ДВ, бр. 89 от 2004 г.).</w:t>
            </w:r>
          </w:p>
        </w:tc>
      </w:tr>
      <w:tr w:rsidR="00F83E7C" w:rsidRPr="00AC0FA4" w14:paraId="39B9A162" w14:textId="77777777" w:rsidTr="00A634FD">
        <w:tc>
          <w:tcPr>
            <w:tcW w:w="2235" w:type="dxa"/>
          </w:tcPr>
          <w:p w14:paraId="45711841" w14:textId="77777777" w:rsidR="00F83E7C" w:rsidRPr="00AC0FA4" w:rsidRDefault="00F83E7C" w:rsidP="00F83E7C">
            <w:pPr>
              <w:jc w:val="both"/>
              <w:rPr>
                <w:rFonts w:ascii="Times New Roman" w:hAnsi="Times New Roman" w:cs="Times New Roman"/>
                <w:b/>
                <w:color w:val="000000"/>
              </w:rPr>
            </w:pPr>
            <w:r w:rsidRPr="00AC0FA4">
              <w:rPr>
                <w:rFonts w:ascii="Times New Roman" w:hAnsi="Times New Roman" w:cs="Times New Roman"/>
                <w:b/>
                <w:color w:val="000000"/>
              </w:rPr>
              <w:t>Улични принадлежности</w:t>
            </w:r>
          </w:p>
        </w:tc>
        <w:tc>
          <w:tcPr>
            <w:tcW w:w="6977" w:type="dxa"/>
          </w:tcPr>
          <w:p w14:paraId="1EBC529A" w14:textId="77777777" w:rsidR="00F83E7C" w:rsidRPr="00AC0FA4" w:rsidRDefault="00F83E7C" w:rsidP="00F83E7C">
            <w:pPr>
              <w:jc w:val="both"/>
              <w:rPr>
                <w:rFonts w:ascii="Times New Roman" w:hAnsi="Times New Roman" w:cs="Times New Roman"/>
              </w:rPr>
            </w:pPr>
            <w:r w:rsidRPr="00AC0FA4">
              <w:rPr>
                <w:rFonts w:ascii="Times New Roman" w:hAnsi="Times New Roman" w:cs="Times New Roman"/>
              </w:rPr>
              <w:t>Принадлежности от комуникационно-транспортната система на урбанизираните територии, която обхваща уличната мрежа и които включват улична маркировка, енергозахранващите и осветителните съоръжения и тела, спирки за масовия градски транспорт, пейки, съдове за събир</w:t>
            </w:r>
            <w:r>
              <w:rPr>
                <w:rFonts w:ascii="Times New Roman" w:hAnsi="Times New Roman" w:cs="Times New Roman"/>
              </w:rPr>
              <w:t xml:space="preserve">ане на отпадъци </w:t>
            </w:r>
            <w:r w:rsidRPr="00AC0FA4">
              <w:rPr>
                <w:rFonts w:ascii="Times New Roman" w:hAnsi="Times New Roman" w:cs="Times New Roman"/>
              </w:rPr>
              <w:t>и камери за видеонаблюдение.</w:t>
            </w:r>
          </w:p>
        </w:tc>
      </w:tr>
      <w:tr w:rsidR="00F83E7C" w:rsidRPr="00AC0FA4" w14:paraId="1AEC2DE7" w14:textId="77777777" w:rsidTr="00A634FD">
        <w:tc>
          <w:tcPr>
            <w:tcW w:w="2235" w:type="dxa"/>
          </w:tcPr>
          <w:p w14:paraId="2170F25D" w14:textId="77777777" w:rsidR="00F83E7C" w:rsidRPr="00AC0FA4" w:rsidRDefault="00F83E7C" w:rsidP="00F83E7C">
            <w:pPr>
              <w:jc w:val="both"/>
              <w:rPr>
                <w:rFonts w:ascii="Times New Roman" w:hAnsi="Times New Roman" w:cs="Times New Roman"/>
                <w:b/>
              </w:rPr>
            </w:pPr>
            <w:r w:rsidRPr="00AC0FA4">
              <w:rPr>
                <w:rFonts w:ascii="Times New Roman" w:hAnsi="Times New Roman" w:cs="Times New Roman"/>
                <w:b/>
                <w:color w:val="000000"/>
              </w:rPr>
              <w:t>Улични съоръжения</w:t>
            </w:r>
          </w:p>
        </w:tc>
        <w:tc>
          <w:tcPr>
            <w:tcW w:w="6977" w:type="dxa"/>
          </w:tcPr>
          <w:p w14:paraId="050E9163" w14:textId="77777777" w:rsidR="00F83E7C" w:rsidRPr="00AC0FA4" w:rsidRDefault="00F83E7C" w:rsidP="00F83E7C">
            <w:pPr>
              <w:jc w:val="both"/>
              <w:rPr>
                <w:rFonts w:ascii="Times New Roman" w:hAnsi="Times New Roman" w:cs="Times New Roman"/>
              </w:rPr>
            </w:pPr>
            <w:r w:rsidRPr="00AC0FA4">
              <w:rPr>
                <w:rFonts w:ascii="Times New Roman" w:hAnsi="Times New Roman" w:cs="Times New Roman"/>
              </w:rPr>
              <w:t>Съоръжения от комуникационно-транспортната система на урбанизираните територии, която обхваща уличната мрежа и които включват мостове, тунели, надлези, подлези, прелези, подпорни и декоративни стени, укрепителни и водоотвеждащи устройства.</w:t>
            </w:r>
          </w:p>
        </w:tc>
      </w:tr>
      <w:tr w:rsidR="00F83E7C" w:rsidRPr="00AC0FA4" w14:paraId="06458045" w14:textId="77777777" w:rsidTr="00A634FD">
        <w:tc>
          <w:tcPr>
            <w:tcW w:w="2235" w:type="dxa"/>
          </w:tcPr>
          <w:p w14:paraId="69EA5F47" w14:textId="0B040283" w:rsidR="00F83E7C" w:rsidRPr="00AC0FA4" w:rsidRDefault="00F83E7C" w:rsidP="00F83E7C">
            <w:pPr>
              <w:jc w:val="both"/>
              <w:rPr>
                <w:rFonts w:ascii="Times New Roman" w:hAnsi="Times New Roman" w:cs="Times New Roman"/>
                <w:b/>
                <w:color w:val="000000"/>
              </w:rPr>
            </w:pPr>
            <w:r w:rsidRPr="007713C1">
              <w:rPr>
                <w:rFonts w:ascii="Times New Roman" w:hAnsi="Times New Roman" w:cs="Times New Roman"/>
                <w:b/>
              </w:rPr>
              <w:t xml:space="preserve">Управляващ орган </w:t>
            </w:r>
          </w:p>
        </w:tc>
        <w:tc>
          <w:tcPr>
            <w:tcW w:w="6977" w:type="dxa"/>
          </w:tcPr>
          <w:p w14:paraId="5F562139" w14:textId="33E11D01" w:rsidR="00F83E7C" w:rsidRPr="00AC0FA4" w:rsidRDefault="00F83E7C" w:rsidP="00F83E7C">
            <w:pPr>
              <w:jc w:val="both"/>
              <w:rPr>
                <w:rFonts w:ascii="Times New Roman" w:hAnsi="Times New Roman" w:cs="Times New Roman"/>
              </w:rPr>
            </w:pPr>
            <w:r w:rsidRPr="007713C1">
              <w:rPr>
                <w:rFonts w:ascii="Times New Roman" w:hAnsi="Times New Roman" w:cs="Times New Roman"/>
              </w:rPr>
              <w:t>Национален, регионален или местен публичен орган, определен да управлява оперативна програма, съгласно Решение № 823/21.10.2015 г. на Министерски съвет.</w:t>
            </w:r>
          </w:p>
        </w:tc>
      </w:tr>
      <w:tr w:rsidR="00F83E7C" w:rsidRPr="00AC0FA4" w14:paraId="1A79DCC5" w14:textId="77777777" w:rsidTr="00A634FD">
        <w:tc>
          <w:tcPr>
            <w:tcW w:w="2235" w:type="dxa"/>
          </w:tcPr>
          <w:p w14:paraId="71A9AD77" w14:textId="77777777" w:rsidR="00F83E7C" w:rsidRPr="00AC0FA4" w:rsidRDefault="00F83E7C" w:rsidP="00F83E7C">
            <w:pPr>
              <w:jc w:val="both"/>
              <w:rPr>
                <w:rFonts w:ascii="Times New Roman" w:hAnsi="Times New Roman" w:cs="Times New Roman"/>
                <w:b/>
              </w:rPr>
            </w:pPr>
            <w:r w:rsidRPr="00AC0FA4">
              <w:rPr>
                <w:rFonts w:ascii="Times New Roman" w:hAnsi="Times New Roman" w:cs="Times New Roman"/>
                <w:b/>
                <w:color w:val="000000"/>
              </w:rPr>
              <w:t>Частичен отказ за финансиране</w:t>
            </w:r>
          </w:p>
        </w:tc>
        <w:tc>
          <w:tcPr>
            <w:tcW w:w="6977" w:type="dxa"/>
          </w:tcPr>
          <w:p w14:paraId="15709110" w14:textId="77777777" w:rsidR="00F83E7C" w:rsidRPr="00AC0FA4" w:rsidRDefault="00F83E7C" w:rsidP="00F83E7C">
            <w:pPr>
              <w:jc w:val="both"/>
              <w:rPr>
                <w:rFonts w:ascii="Times New Roman" w:hAnsi="Times New Roman" w:cs="Times New Roman"/>
              </w:rPr>
            </w:pPr>
            <w:r w:rsidRPr="00AC0FA4">
              <w:rPr>
                <w:rFonts w:ascii="Times New Roman" w:hAnsi="Times New Roman" w:cs="Times New Roman"/>
              </w:rPr>
              <w:t>Отказът да се финансират част от заявените разходи на кандидата, които са включени в проект, одобрен за подпомагане по ПРСР 2014 – 2020 г.</w:t>
            </w:r>
          </w:p>
        </w:tc>
      </w:tr>
    </w:tbl>
    <w:p w14:paraId="6EBD1831" w14:textId="77777777" w:rsidR="00412CF4" w:rsidRDefault="00412CF4" w:rsidP="006318F6">
      <w:pPr>
        <w:spacing w:before="240"/>
        <w:rPr>
          <w:rFonts w:ascii="Times New Roman" w:hAnsi="Times New Roman" w:cs="Times New Roman"/>
          <w:b/>
          <w:noProof/>
        </w:rPr>
      </w:pPr>
    </w:p>
    <w:p w14:paraId="42DB7485" w14:textId="76DF267A" w:rsidR="00F83E7C" w:rsidRDefault="007F5391" w:rsidP="006318F6">
      <w:pPr>
        <w:spacing w:before="240"/>
        <w:rPr>
          <w:rFonts w:ascii="Times New Roman" w:hAnsi="Times New Roman" w:cs="Times New Roman"/>
          <w:b/>
          <w:noProof/>
        </w:rPr>
      </w:pPr>
      <w:r w:rsidRPr="007713C1">
        <w:rPr>
          <w:rFonts w:ascii="Times New Roman" w:hAnsi="Times New Roman" w:cs="Times New Roman"/>
          <w:b/>
          <w:noProof/>
        </w:rPr>
        <w:t>СПИСЪК НА СЪК</w:t>
      </w:r>
      <w:r w:rsidR="00F83E7C" w:rsidRPr="007713C1">
        <w:rPr>
          <w:rFonts w:ascii="Times New Roman" w:hAnsi="Times New Roman" w:cs="Times New Roman"/>
          <w:b/>
          <w:noProof/>
        </w:rPr>
        <w:t>РАЩЕНИЯТА</w:t>
      </w:r>
    </w:p>
    <w:tbl>
      <w:tblPr>
        <w:tblStyle w:val="2"/>
        <w:tblW w:w="0" w:type="auto"/>
        <w:tblLook w:val="04A0" w:firstRow="1" w:lastRow="0" w:firstColumn="1" w:lastColumn="0" w:noHBand="0" w:noVBand="1"/>
      </w:tblPr>
      <w:tblGrid>
        <w:gridCol w:w="2235"/>
        <w:gridCol w:w="6977"/>
      </w:tblGrid>
      <w:tr w:rsidR="00412CF4" w:rsidRPr="00CC3223" w14:paraId="4953EBA3" w14:textId="77777777" w:rsidTr="00A634FD">
        <w:tc>
          <w:tcPr>
            <w:tcW w:w="2235" w:type="dxa"/>
          </w:tcPr>
          <w:p w14:paraId="370858C5" w14:textId="77777777" w:rsidR="00412CF4" w:rsidRPr="00CC3223" w:rsidRDefault="00412CF4" w:rsidP="00A634FD">
            <w:pPr>
              <w:jc w:val="both"/>
              <w:rPr>
                <w:rFonts w:ascii="Times New Roman" w:hAnsi="Times New Roman" w:cs="Times New Roman"/>
                <w:b/>
              </w:rPr>
            </w:pPr>
            <w:r w:rsidRPr="00CC3223">
              <w:rPr>
                <w:rFonts w:ascii="Times New Roman" w:hAnsi="Times New Roman" w:cs="Times New Roman"/>
                <w:b/>
              </w:rPr>
              <w:t>БФП</w:t>
            </w:r>
          </w:p>
        </w:tc>
        <w:tc>
          <w:tcPr>
            <w:tcW w:w="6977" w:type="dxa"/>
          </w:tcPr>
          <w:p w14:paraId="56425216" w14:textId="77777777" w:rsidR="00412CF4" w:rsidRPr="00CC3223" w:rsidRDefault="00412CF4" w:rsidP="00A634FD">
            <w:pPr>
              <w:jc w:val="both"/>
              <w:rPr>
                <w:rFonts w:ascii="Times New Roman" w:hAnsi="Times New Roman" w:cs="Times New Roman"/>
              </w:rPr>
            </w:pPr>
            <w:r w:rsidRPr="00CC3223">
              <w:rPr>
                <w:rFonts w:ascii="Times New Roman" w:hAnsi="Times New Roman" w:cs="Times New Roman"/>
              </w:rPr>
              <w:t>Безвъзмездна финансова помощ</w:t>
            </w:r>
          </w:p>
        </w:tc>
      </w:tr>
      <w:tr w:rsidR="00412CF4" w:rsidRPr="00CC3223" w14:paraId="480CC768" w14:textId="77777777" w:rsidTr="00A634FD">
        <w:tc>
          <w:tcPr>
            <w:tcW w:w="2235" w:type="dxa"/>
          </w:tcPr>
          <w:p w14:paraId="3383974B" w14:textId="77777777" w:rsidR="00412CF4" w:rsidRPr="00CC3223" w:rsidRDefault="00412CF4" w:rsidP="00A634FD">
            <w:pPr>
              <w:jc w:val="both"/>
              <w:rPr>
                <w:rFonts w:ascii="Times New Roman" w:hAnsi="Times New Roman" w:cs="Times New Roman"/>
                <w:b/>
              </w:rPr>
            </w:pPr>
            <w:r>
              <w:rPr>
                <w:rFonts w:ascii="Times New Roman" w:hAnsi="Times New Roman" w:cs="Times New Roman"/>
                <w:b/>
              </w:rPr>
              <w:t>ДДС</w:t>
            </w:r>
          </w:p>
        </w:tc>
        <w:tc>
          <w:tcPr>
            <w:tcW w:w="6977" w:type="dxa"/>
          </w:tcPr>
          <w:p w14:paraId="5A4FF23C" w14:textId="77777777" w:rsidR="00412CF4" w:rsidRPr="00CC3223" w:rsidRDefault="00412CF4" w:rsidP="00A634FD">
            <w:pPr>
              <w:jc w:val="both"/>
              <w:rPr>
                <w:rFonts w:ascii="Times New Roman" w:hAnsi="Times New Roman" w:cs="Times New Roman"/>
              </w:rPr>
            </w:pPr>
            <w:r>
              <w:rPr>
                <w:rFonts w:ascii="Times New Roman" w:hAnsi="Times New Roman" w:cs="Times New Roman"/>
              </w:rPr>
              <w:t>Данък върху добавената стойност</w:t>
            </w:r>
          </w:p>
        </w:tc>
      </w:tr>
      <w:tr w:rsidR="00412CF4" w:rsidRPr="00CC3223" w14:paraId="71017B65" w14:textId="77777777" w:rsidTr="00A634FD">
        <w:tc>
          <w:tcPr>
            <w:tcW w:w="2235" w:type="dxa"/>
          </w:tcPr>
          <w:p w14:paraId="2D4AB1EE" w14:textId="77777777" w:rsidR="00412CF4" w:rsidRDefault="00412CF4" w:rsidP="00A634FD">
            <w:pPr>
              <w:jc w:val="both"/>
              <w:rPr>
                <w:rFonts w:ascii="Times New Roman" w:hAnsi="Times New Roman" w:cs="Times New Roman"/>
                <w:b/>
              </w:rPr>
            </w:pPr>
            <w:r>
              <w:rPr>
                <w:rFonts w:ascii="Times New Roman" w:hAnsi="Times New Roman" w:cs="Times New Roman"/>
                <w:b/>
              </w:rPr>
              <w:t>ДФЗ-РА</w:t>
            </w:r>
          </w:p>
        </w:tc>
        <w:tc>
          <w:tcPr>
            <w:tcW w:w="6977" w:type="dxa"/>
          </w:tcPr>
          <w:p w14:paraId="2598C670" w14:textId="77777777" w:rsidR="00412CF4" w:rsidRDefault="00412CF4" w:rsidP="00A634FD">
            <w:pPr>
              <w:jc w:val="both"/>
              <w:rPr>
                <w:rFonts w:ascii="Times New Roman" w:hAnsi="Times New Roman" w:cs="Times New Roman"/>
              </w:rPr>
            </w:pPr>
            <w:r>
              <w:rPr>
                <w:rFonts w:ascii="Times New Roman" w:hAnsi="Times New Roman" w:cs="Times New Roman"/>
              </w:rPr>
              <w:t>Държавен фонд „Земеделие“ – Разплащателна агенция</w:t>
            </w:r>
          </w:p>
        </w:tc>
      </w:tr>
      <w:tr w:rsidR="00412CF4" w:rsidRPr="00CC3223" w14:paraId="15532D0F" w14:textId="77777777" w:rsidTr="00A634FD">
        <w:tc>
          <w:tcPr>
            <w:tcW w:w="2235" w:type="dxa"/>
          </w:tcPr>
          <w:p w14:paraId="60E7C12F" w14:textId="77777777" w:rsidR="00412CF4" w:rsidRPr="00CC3223" w:rsidRDefault="00412CF4" w:rsidP="00A634FD">
            <w:pPr>
              <w:jc w:val="both"/>
              <w:rPr>
                <w:rFonts w:ascii="Times New Roman" w:hAnsi="Times New Roman" w:cs="Times New Roman"/>
                <w:b/>
              </w:rPr>
            </w:pPr>
            <w:r w:rsidRPr="00CC3223">
              <w:rPr>
                <w:rFonts w:ascii="Times New Roman" w:hAnsi="Times New Roman" w:cs="Times New Roman"/>
                <w:b/>
              </w:rPr>
              <w:t>ЕС</w:t>
            </w:r>
          </w:p>
        </w:tc>
        <w:tc>
          <w:tcPr>
            <w:tcW w:w="6977" w:type="dxa"/>
          </w:tcPr>
          <w:p w14:paraId="35EB0CB4" w14:textId="77777777" w:rsidR="00412CF4" w:rsidRPr="00CC3223" w:rsidRDefault="00412CF4" w:rsidP="00A634FD">
            <w:pPr>
              <w:jc w:val="both"/>
              <w:rPr>
                <w:rFonts w:ascii="Times New Roman" w:hAnsi="Times New Roman" w:cs="Times New Roman"/>
              </w:rPr>
            </w:pPr>
            <w:r w:rsidRPr="00CC3223">
              <w:rPr>
                <w:rFonts w:ascii="Times New Roman" w:hAnsi="Times New Roman" w:cs="Times New Roman"/>
                <w:shd w:val="clear" w:color="auto" w:fill="FEFEFE"/>
              </w:rPr>
              <w:t>Европейски съюз</w:t>
            </w:r>
          </w:p>
        </w:tc>
      </w:tr>
      <w:tr w:rsidR="00412CF4" w:rsidRPr="00CC3223" w14:paraId="0FAF29E0" w14:textId="77777777" w:rsidTr="00A634FD">
        <w:tc>
          <w:tcPr>
            <w:tcW w:w="2235" w:type="dxa"/>
          </w:tcPr>
          <w:p w14:paraId="32F45FDB" w14:textId="77777777" w:rsidR="00412CF4" w:rsidRPr="00CC3223" w:rsidRDefault="00412CF4" w:rsidP="00A634FD">
            <w:pPr>
              <w:jc w:val="both"/>
              <w:rPr>
                <w:rFonts w:ascii="Times New Roman" w:hAnsi="Times New Roman" w:cs="Times New Roman"/>
                <w:b/>
              </w:rPr>
            </w:pPr>
            <w:r w:rsidRPr="00CC3223">
              <w:rPr>
                <w:rFonts w:ascii="Times New Roman" w:hAnsi="Times New Roman" w:cs="Times New Roman"/>
                <w:b/>
                <w:color w:val="000000"/>
              </w:rPr>
              <w:t>ЕСИФ</w:t>
            </w:r>
          </w:p>
        </w:tc>
        <w:tc>
          <w:tcPr>
            <w:tcW w:w="6977" w:type="dxa"/>
          </w:tcPr>
          <w:p w14:paraId="640E325E" w14:textId="77777777" w:rsidR="00412CF4" w:rsidRPr="00CC3223" w:rsidRDefault="00412CF4" w:rsidP="00A634FD">
            <w:pPr>
              <w:jc w:val="both"/>
              <w:rPr>
                <w:rFonts w:ascii="Times New Roman" w:hAnsi="Times New Roman" w:cs="Times New Roman"/>
              </w:rPr>
            </w:pPr>
            <w:r w:rsidRPr="00CC3223">
              <w:rPr>
                <w:rFonts w:ascii="Times New Roman" w:hAnsi="Times New Roman" w:cs="Times New Roman"/>
              </w:rPr>
              <w:t>Европейски структурни и инвестиционни фондове</w:t>
            </w:r>
          </w:p>
        </w:tc>
      </w:tr>
      <w:tr w:rsidR="00412CF4" w:rsidRPr="00CC3223" w14:paraId="739FD086" w14:textId="77777777" w:rsidTr="00A634FD">
        <w:tc>
          <w:tcPr>
            <w:tcW w:w="2235" w:type="dxa"/>
          </w:tcPr>
          <w:p w14:paraId="4DE6352A" w14:textId="77777777" w:rsidR="00412CF4" w:rsidRPr="00CC3223" w:rsidRDefault="00412CF4" w:rsidP="00A634FD">
            <w:pPr>
              <w:jc w:val="both"/>
              <w:rPr>
                <w:rFonts w:ascii="Times New Roman" w:hAnsi="Times New Roman" w:cs="Times New Roman"/>
                <w:b/>
              </w:rPr>
            </w:pPr>
            <w:r w:rsidRPr="00CC3223">
              <w:rPr>
                <w:rFonts w:ascii="Times New Roman" w:hAnsi="Times New Roman" w:cs="Times New Roman"/>
                <w:b/>
                <w:color w:val="000000"/>
              </w:rPr>
              <w:t>ЕЗФРСР</w:t>
            </w:r>
          </w:p>
        </w:tc>
        <w:tc>
          <w:tcPr>
            <w:tcW w:w="6977" w:type="dxa"/>
          </w:tcPr>
          <w:p w14:paraId="13926E58" w14:textId="77777777" w:rsidR="00412CF4" w:rsidRPr="00CC3223" w:rsidRDefault="00412CF4" w:rsidP="00A634FD">
            <w:pPr>
              <w:jc w:val="both"/>
              <w:rPr>
                <w:rFonts w:ascii="Times New Roman" w:hAnsi="Times New Roman" w:cs="Times New Roman"/>
              </w:rPr>
            </w:pPr>
            <w:r w:rsidRPr="00CC3223">
              <w:rPr>
                <w:rFonts w:ascii="Times New Roman" w:hAnsi="Times New Roman" w:cs="Times New Roman"/>
              </w:rPr>
              <w:t>Европейски земеделски фонд за развитие на селските райони</w:t>
            </w:r>
          </w:p>
        </w:tc>
      </w:tr>
      <w:tr w:rsidR="00412CF4" w:rsidRPr="00CC3223" w14:paraId="4713FFC0" w14:textId="77777777" w:rsidTr="00A634FD">
        <w:tc>
          <w:tcPr>
            <w:tcW w:w="2235" w:type="dxa"/>
          </w:tcPr>
          <w:p w14:paraId="550FAB7A" w14:textId="77777777" w:rsidR="00412CF4" w:rsidRPr="00CC3223" w:rsidRDefault="00412CF4" w:rsidP="00A634FD">
            <w:pPr>
              <w:jc w:val="both"/>
              <w:rPr>
                <w:rFonts w:ascii="Times New Roman" w:hAnsi="Times New Roman" w:cs="Times New Roman"/>
                <w:b/>
              </w:rPr>
            </w:pPr>
            <w:r w:rsidRPr="00CC3223">
              <w:rPr>
                <w:rFonts w:ascii="Times New Roman" w:hAnsi="Times New Roman" w:cs="Times New Roman"/>
                <w:b/>
                <w:color w:val="000000"/>
              </w:rPr>
              <w:t>ЗДДС</w:t>
            </w:r>
          </w:p>
        </w:tc>
        <w:tc>
          <w:tcPr>
            <w:tcW w:w="6977" w:type="dxa"/>
          </w:tcPr>
          <w:p w14:paraId="55323877" w14:textId="77777777" w:rsidR="00412CF4" w:rsidRPr="00CC3223" w:rsidRDefault="00412CF4" w:rsidP="00A634FD">
            <w:pPr>
              <w:jc w:val="both"/>
              <w:rPr>
                <w:rFonts w:ascii="Times New Roman" w:hAnsi="Times New Roman" w:cs="Times New Roman"/>
              </w:rPr>
            </w:pPr>
            <w:r w:rsidRPr="00CC3223">
              <w:rPr>
                <w:rFonts w:ascii="Times New Roman" w:hAnsi="Times New Roman" w:cs="Times New Roman"/>
              </w:rPr>
              <w:t>Закон за данък добавена стойност</w:t>
            </w:r>
          </w:p>
          <w:p w14:paraId="02AD2292" w14:textId="77777777" w:rsidR="00412CF4" w:rsidRPr="00CC3223" w:rsidRDefault="00412CF4" w:rsidP="00A634FD">
            <w:pPr>
              <w:jc w:val="both"/>
              <w:rPr>
                <w:rFonts w:ascii="Times New Roman" w:hAnsi="Times New Roman" w:cs="Times New Roman"/>
              </w:rPr>
            </w:pPr>
          </w:p>
        </w:tc>
      </w:tr>
      <w:tr w:rsidR="00412CF4" w:rsidRPr="00CC3223" w14:paraId="52039FD7" w14:textId="77777777" w:rsidTr="00A634FD">
        <w:tc>
          <w:tcPr>
            <w:tcW w:w="2235" w:type="dxa"/>
          </w:tcPr>
          <w:p w14:paraId="654731E1" w14:textId="77777777" w:rsidR="00412CF4" w:rsidRPr="00CC3223" w:rsidRDefault="00412CF4" w:rsidP="00A634FD">
            <w:pPr>
              <w:jc w:val="both"/>
              <w:rPr>
                <w:rFonts w:ascii="Times New Roman" w:hAnsi="Times New Roman" w:cs="Times New Roman"/>
                <w:b/>
              </w:rPr>
            </w:pPr>
            <w:r w:rsidRPr="00CC3223">
              <w:rPr>
                <w:rFonts w:ascii="Times New Roman" w:hAnsi="Times New Roman" w:cs="Times New Roman"/>
                <w:b/>
                <w:color w:val="000000"/>
              </w:rPr>
              <w:t>ЗЕЕ</w:t>
            </w:r>
          </w:p>
        </w:tc>
        <w:tc>
          <w:tcPr>
            <w:tcW w:w="6977" w:type="dxa"/>
          </w:tcPr>
          <w:p w14:paraId="7751805E" w14:textId="77777777" w:rsidR="00412CF4" w:rsidRPr="00CC3223" w:rsidRDefault="00412CF4" w:rsidP="00A634FD">
            <w:pPr>
              <w:jc w:val="both"/>
              <w:rPr>
                <w:rFonts w:ascii="Times New Roman" w:hAnsi="Times New Roman" w:cs="Times New Roman"/>
              </w:rPr>
            </w:pPr>
            <w:r w:rsidRPr="00CC3223">
              <w:rPr>
                <w:rFonts w:ascii="Times New Roman" w:hAnsi="Times New Roman" w:cs="Times New Roman"/>
              </w:rPr>
              <w:t>Закон за енергийната ефективност</w:t>
            </w:r>
          </w:p>
          <w:p w14:paraId="0CB68B1D" w14:textId="77777777" w:rsidR="00412CF4" w:rsidRPr="00CC3223" w:rsidRDefault="00412CF4" w:rsidP="00A634FD">
            <w:pPr>
              <w:jc w:val="both"/>
              <w:rPr>
                <w:rFonts w:ascii="Times New Roman" w:hAnsi="Times New Roman" w:cs="Times New Roman"/>
              </w:rPr>
            </w:pPr>
          </w:p>
        </w:tc>
      </w:tr>
      <w:tr w:rsidR="00412CF4" w:rsidRPr="00CC3223" w14:paraId="0131631B" w14:textId="77777777" w:rsidTr="00A634FD">
        <w:tc>
          <w:tcPr>
            <w:tcW w:w="2235" w:type="dxa"/>
          </w:tcPr>
          <w:p w14:paraId="7017DFCE" w14:textId="77777777" w:rsidR="00412CF4" w:rsidRPr="00CC3223" w:rsidRDefault="00412CF4" w:rsidP="00A634FD">
            <w:pPr>
              <w:jc w:val="both"/>
              <w:rPr>
                <w:rFonts w:ascii="Times New Roman" w:hAnsi="Times New Roman" w:cs="Times New Roman"/>
                <w:b/>
                <w:color w:val="000000"/>
              </w:rPr>
            </w:pPr>
            <w:r>
              <w:rPr>
                <w:rFonts w:ascii="Times New Roman" w:hAnsi="Times New Roman" w:cs="Times New Roman"/>
                <w:b/>
                <w:color w:val="000000"/>
              </w:rPr>
              <w:t>ЗЕУ</w:t>
            </w:r>
          </w:p>
        </w:tc>
        <w:tc>
          <w:tcPr>
            <w:tcW w:w="6977" w:type="dxa"/>
          </w:tcPr>
          <w:p w14:paraId="5EF1E6D5" w14:textId="77777777" w:rsidR="00412CF4" w:rsidRPr="00CC3223" w:rsidRDefault="00412CF4" w:rsidP="00A634FD">
            <w:pPr>
              <w:jc w:val="both"/>
              <w:rPr>
                <w:rFonts w:ascii="Times New Roman" w:hAnsi="Times New Roman" w:cs="Times New Roman"/>
              </w:rPr>
            </w:pPr>
            <w:r>
              <w:rPr>
                <w:rFonts w:ascii="Times New Roman" w:hAnsi="Times New Roman" w:cs="Times New Roman"/>
              </w:rPr>
              <w:t>Закон за електронното управление</w:t>
            </w:r>
          </w:p>
        </w:tc>
      </w:tr>
      <w:tr w:rsidR="00412CF4" w:rsidRPr="00CC3223" w14:paraId="57821225" w14:textId="77777777" w:rsidTr="00A634FD">
        <w:tc>
          <w:tcPr>
            <w:tcW w:w="2235" w:type="dxa"/>
          </w:tcPr>
          <w:p w14:paraId="5EB3C199" w14:textId="77777777" w:rsidR="00412CF4" w:rsidRDefault="00412CF4" w:rsidP="00A634FD">
            <w:pPr>
              <w:jc w:val="both"/>
              <w:rPr>
                <w:rFonts w:ascii="Times New Roman" w:hAnsi="Times New Roman" w:cs="Times New Roman"/>
                <w:b/>
                <w:color w:val="000000"/>
              </w:rPr>
            </w:pPr>
            <w:r>
              <w:rPr>
                <w:rFonts w:ascii="Times New Roman" w:hAnsi="Times New Roman" w:cs="Times New Roman"/>
                <w:b/>
                <w:color w:val="000000"/>
              </w:rPr>
              <w:t>ЗКН</w:t>
            </w:r>
          </w:p>
        </w:tc>
        <w:tc>
          <w:tcPr>
            <w:tcW w:w="6977" w:type="dxa"/>
          </w:tcPr>
          <w:p w14:paraId="3116ECAA" w14:textId="77777777" w:rsidR="00412CF4" w:rsidRDefault="00412CF4" w:rsidP="00A634FD">
            <w:pPr>
              <w:jc w:val="both"/>
              <w:rPr>
                <w:rFonts w:ascii="Times New Roman" w:hAnsi="Times New Roman" w:cs="Times New Roman"/>
              </w:rPr>
            </w:pPr>
            <w:r>
              <w:rPr>
                <w:rFonts w:ascii="Times New Roman" w:hAnsi="Times New Roman" w:cs="Times New Roman"/>
              </w:rPr>
              <w:t>Закон за културното наследство</w:t>
            </w:r>
          </w:p>
        </w:tc>
      </w:tr>
      <w:tr w:rsidR="00412CF4" w:rsidRPr="00CC3223" w14:paraId="1F24B87C" w14:textId="77777777" w:rsidTr="00A634FD">
        <w:tc>
          <w:tcPr>
            <w:tcW w:w="2235" w:type="dxa"/>
          </w:tcPr>
          <w:p w14:paraId="33FEEDDC" w14:textId="77777777" w:rsidR="00412CF4" w:rsidRPr="00CC3223" w:rsidRDefault="00412CF4" w:rsidP="00A634FD">
            <w:pPr>
              <w:jc w:val="both"/>
              <w:rPr>
                <w:rFonts w:ascii="Times New Roman" w:hAnsi="Times New Roman" w:cs="Times New Roman"/>
                <w:b/>
              </w:rPr>
            </w:pPr>
            <w:r w:rsidRPr="00CC3223">
              <w:rPr>
                <w:rFonts w:ascii="Times New Roman" w:hAnsi="Times New Roman" w:cs="Times New Roman"/>
                <w:b/>
                <w:color w:val="000000"/>
              </w:rPr>
              <w:lastRenderedPageBreak/>
              <w:t>ЗОП</w:t>
            </w:r>
          </w:p>
        </w:tc>
        <w:tc>
          <w:tcPr>
            <w:tcW w:w="6977" w:type="dxa"/>
          </w:tcPr>
          <w:p w14:paraId="55F7D149" w14:textId="77777777" w:rsidR="00412CF4" w:rsidRPr="00CC3223" w:rsidRDefault="00412CF4" w:rsidP="00A634FD">
            <w:pPr>
              <w:jc w:val="both"/>
              <w:rPr>
                <w:rFonts w:ascii="Times New Roman" w:hAnsi="Times New Roman" w:cs="Times New Roman"/>
              </w:rPr>
            </w:pPr>
            <w:r w:rsidRPr="00CC3223">
              <w:rPr>
                <w:rFonts w:ascii="Times New Roman" w:hAnsi="Times New Roman" w:cs="Times New Roman"/>
              </w:rPr>
              <w:t>Закон за обществените поръчки</w:t>
            </w:r>
          </w:p>
        </w:tc>
      </w:tr>
      <w:tr w:rsidR="00412CF4" w:rsidRPr="00CC3223" w14:paraId="7000A36A" w14:textId="77777777" w:rsidTr="00A634FD">
        <w:tc>
          <w:tcPr>
            <w:tcW w:w="2235" w:type="dxa"/>
          </w:tcPr>
          <w:p w14:paraId="5EC63427" w14:textId="77777777" w:rsidR="00412CF4" w:rsidRPr="00CC3223" w:rsidRDefault="00412CF4" w:rsidP="00A634FD">
            <w:pPr>
              <w:jc w:val="both"/>
              <w:rPr>
                <w:rFonts w:ascii="Times New Roman" w:hAnsi="Times New Roman" w:cs="Times New Roman"/>
                <w:b/>
              </w:rPr>
            </w:pPr>
            <w:r w:rsidRPr="00CC3223">
              <w:rPr>
                <w:rFonts w:ascii="Times New Roman" w:hAnsi="Times New Roman" w:cs="Times New Roman"/>
                <w:b/>
                <w:color w:val="000000"/>
              </w:rPr>
              <w:t>ЗООС</w:t>
            </w:r>
          </w:p>
        </w:tc>
        <w:tc>
          <w:tcPr>
            <w:tcW w:w="6977" w:type="dxa"/>
          </w:tcPr>
          <w:p w14:paraId="74CBA477" w14:textId="77777777" w:rsidR="00412CF4" w:rsidRPr="00CC3223" w:rsidRDefault="00412CF4" w:rsidP="00A634FD">
            <w:pPr>
              <w:jc w:val="both"/>
              <w:rPr>
                <w:rFonts w:ascii="Times New Roman" w:eastAsia="Times New Roman" w:hAnsi="Times New Roman" w:cs="Times New Roman"/>
                <w:color w:val="000000"/>
                <w:lang w:eastAsia="bg-BG"/>
              </w:rPr>
            </w:pPr>
            <w:r w:rsidRPr="00CC3223">
              <w:rPr>
                <w:rFonts w:ascii="Times New Roman" w:eastAsia="Times New Roman" w:hAnsi="Times New Roman" w:cs="Times New Roman"/>
                <w:color w:val="000000"/>
                <w:lang w:eastAsia="bg-BG"/>
              </w:rPr>
              <w:t>Закон за опазване на околната среда</w:t>
            </w:r>
          </w:p>
          <w:p w14:paraId="43716370" w14:textId="77777777" w:rsidR="00412CF4" w:rsidRPr="00CC3223" w:rsidRDefault="00412CF4" w:rsidP="00A634FD">
            <w:pPr>
              <w:jc w:val="both"/>
              <w:rPr>
                <w:rFonts w:ascii="Times New Roman" w:hAnsi="Times New Roman" w:cs="Times New Roman"/>
              </w:rPr>
            </w:pPr>
          </w:p>
        </w:tc>
      </w:tr>
      <w:tr w:rsidR="00412CF4" w:rsidRPr="00CC3223" w14:paraId="0FC5CDBF" w14:textId="77777777" w:rsidTr="00A634FD">
        <w:tc>
          <w:tcPr>
            <w:tcW w:w="2235" w:type="dxa"/>
          </w:tcPr>
          <w:p w14:paraId="638A10A4" w14:textId="77777777" w:rsidR="00412CF4" w:rsidRPr="00CC3223" w:rsidRDefault="00412CF4" w:rsidP="00A634FD">
            <w:pPr>
              <w:jc w:val="both"/>
              <w:rPr>
                <w:rFonts w:ascii="Times New Roman" w:hAnsi="Times New Roman" w:cs="Times New Roman"/>
                <w:b/>
                <w:color w:val="000000"/>
              </w:rPr>
            </w:pPr>
            <w:r w:rsidRPr="00CC3223">
              <w:rPr>
                <w:rFonts w:ascii="Times New Roman" w:hAnsi="Times New Roman" w:cs="Times New Roman"/>
                <w:b/>
                <w:color w:val="000000"/>
              </w:rPr>
              <w:t>ЗПЗП</w:t>
            </w:r>
          </w:p>
        </w:tc>
        <w:tc>
          <w:tcPr>
            <w:tcW w:w="6977" w:type="dxa"/>
          </w:tcPr>
          <w:p w14:paraId="42AD5C96" w14:textId="77777777" w:rsidR="00412CF4" w:rsidRPr="00CC3223" w:rsidRDefault="00412CF4" w:rsidP="00A634FD">
            <w:pPr>
              <w:jc w:val="both"/>
              <w:rPr>
                <w:rFonts w:ascii="Times New Roman" w:eastAsia="Times New Roman" w:hAnsi="Times New Roman" w:cs="Times New Roman"/>
                <w:color w:val="000000"/>
                <w:lang w:eastAsia="bg-BG"/>
              </w:rPr>
            </w:pPr>
            <w:r w:rsidRPr="00CC3223">
              <w:rPr>
                <w:rFonts w:ascii="Times New Roman" w:eastAsia="Times New Roman" w:hAnsi="Times New Roman" w:cs="Times New Roman"/>
                <w:color w:val="000000"/>
                <w:lang w:eastAsia="bg-BG"/>
              </w:rPr>
              <w:t>Закон за подпомагане на земеделските производители</w:t>
            </w:r>
          </w:p>
        </w:tc>
      </w:tr>
      <w:tr w:rsidR="00412CF4" w:rsidRPr="00CC3223" w14:paraId="73B7798D" w14:textId="77777777" w:rsidTr="00A634FD">
        <w:tc>
          <w:tcPr>
            <w:tcW w:w="2235" w:type="dxa"/>
          </w:tcPr>
          <w:p w14:paraId="3272D767" w14:textId="77777777" w:rsidR="00412CF4" w:rsidRPr="00CC3223" w:rsidRDefault="00412CF4" w:rsidP="00A634FD">
            <w:pPr>
              <w:jc w:val="both"/>
              <w:rPr>
                <w:rFonts w:ascii="Times New Roman" w:hAnsi="Times New Roman" w:cs="Times New Roman"/>
                <w:b/>
                <w:color w:val="000000"/>
              </w:rPr>
            </w:pPr>
            <w:r w:rsidRPr="00CC3223">
              <w:rPr>
                <w:rFonts w:ascii="Times New Roman" w:hAnsi="Times New Roman" w:cs="Times New Roman"/>
                <w:b/>
                <w:color w:val="000000"/>
              </w:rPr>
              <w:t>ЗУСЕСИФ</w:t>
            </w:r>
          </w:p>
        </w:tc>
        <w:tc>
          <w:tcPr>
            <w:tcW w:w="6977" w:type="dxa"/>
          </w:tcPr>
          <w:p w14:paraId="7ABE5B0A" w14:textId="77777777" w:rsidR="00412CF4" w:rsidRPr="00CC3223" w:rsidRDefault="00412CF4" w:rsidP="00A634FD">
            <w:pPr>
              <w:jc w:val="both"/>
              <w:rPr>
                <w:rFonts w:ascii="Times New Roman" w:eastAsia="Times New Roman" w:hAnsi="Times New Roman" w:cs="Times New Roman"/>
                <w:color w:val="000000"/>
                <w:lang w:eastAsia="bg-BG"/>
              </w:rPr>
            </w:pPr>
            <w:r w:rsidRPr="00CC3223">
              <w:rPr>
                <w:rFonts w:ascii="Times New Roman" w:eastAsia="Times New Roman" w:hAnsi="Times New Roman" w:cs="Times New Roman"/>
                <w:color w:val="000000"/>
                <w:lang w:eastAsia="bg-BG"/>
              </w:rPr>
              <w:t>Закон за управление на средствата от Европейските структурни и инвестиционни фондове</w:t>
            </w:r>
          </w:p>
        </w:tc>
      </w:tr>
      <w:tr w:rsidR="00412CF4" w:rsidRPr="00CC3223" w14:paraId="608BD2B5" w14:textId="77777777" w:rsidTr="00A634FD">
        <w:tc>
          <w:tcPr>
            <w:tcW w:w="2235" w:type="dxa"/>
          </w:tcPr>
          <w:p w14:paraId="60BF1E37" w14:textId="77777777" w:rsidR="00412CF4" w:rsidRPr="00CC3223" w:rsidRDefault="00412CF4" w:rsidP="00A634FD">
            <w:pPr>
              <w:jc w:val="both"/>
              <w:rPr>
                <w:rFonts w:ascii="Times New Roman" w:hAnsi="Times New Roman" w:cs="Times New Roman"/>
                <w:b/>
              </w:rPr>
            </w:pPr>
            <w:r w:rsidRPr="00CC3223">
              <w:rPr>
                <w:rFonts w:ascii="Times New Roman" w:hAnsi="Times New Roman" w:cs="Times New Roman"/>
                <w:b/>
                <w:color w:val="000000"/>
              </w:rPr>
              <w:t>ЗУТ</w:t>
            </w:r>
          </w:p>
        </w:tc>
        <w:tc>
          <w:tcPr>
            <w:tcW w:w="6977" w:type="dxa"/>
          </w:tcPr>
          <w:p w14:paraId="1EF717E6" w14:textId="77777777" w:rsidR="00412CF4" w:rsidRPr="00CC3223" w:rsidRDefault="00412CF4" w:rsidP="00A634FD">
            <w:pPr>
              <w:jc w:val="both"/>
              <w:rPr>
                <w:rFonts w:ascii="Times New Roman" w:hAnsi="Times New Roman" w:cs="Times New Roman"/>
              </w:rPr>
            </w:pPr>
            <w:r w:rsidRPr="00CC3223">
              <w:rPr>
                <w:rFonts w:ascii="Times New Roman" w:hAnsi="Times New Roman" w:cs="Times New Roman"/>
              </w:rPr>
              <w:t>Закон за устройство на територията</w:t>
            </w:r>
          </w:p>
          <w:p w14:paraId="085C85F6" w14:textId="77777777" w:rsidR="00412CF4" w:rsidRPr="00CC3223" w:rsidRDefault="00412CF4" w:rsidP="00A634FD">
            <w:pPr>
              <w:jc w:val="both"/>
              <w:rPr>
                <w:rFonts w:ascii="Times New Roman" w:hAnsi="Times New Roman" w:cs="Times New Roman"/>
              </w:rPr>
            </w:pPr>
          </w:p>
        </w:tc>
      </w:tr>
      <w:tr w:rsidR="00412CF4" w:rsidRPr="00CC3223" w14:paraId="2C2A1BF0" w14:textId="77777777" w:rsidTr="00A634FD">
        <w:tc>
          <w:tcPr>
            <w:tcW w:w="2235" w:type="dxa"/>
          </w:tcPr>
          <w:p w14:paraId="6F1F4743" w14:textId="77777777" w:rsidR="00412CF4" w:rsidRPr="00CC3223" w:rsidRDefault="00412CF4" w:rsidP="00A634FD">
            <w:pPr>
              <w:jc w:val="both"/>
              <w:rPr>
                <w:rFonts w:ascii="Times New Roman" w:hAnsi="Times New Roman" w:cs="Times New Roman"/>
                <w:b/>
                <w:color w:val="000000"/>
              </w:rPr>
            </w:pPr>
            <w:r w:rsidRPr="00CC3223">
              <w:rPr>
                <w:rFonts w:ascii="Times New Roman" w:hAnsi="Times New Roman" w:cs="Times New Roman"/>
                <w:b/>
                <w:color w:val="000000"/>
              </w:rPr>
              <w:t>ИСУН</w:t>
            </w:r>
          </w:p>
        </w:tc>
        <w:tc>
          <w:tcPr>
            <w:tcW w:w="6977" w:type="dxa"/>
          </w:tcPr>
          <w:p w14:paraId="1DFDC98E" w14:textId="77777777" w:rsidR="00412CF4" w:rsidRPr="00CC3223" w:rsidRDefault="00412CF4" w:rsidP="00A634FD">
            <w:pPr>
              <w:jc w:val="both"/>
              <w:rPr>
                <w:rFonts w:ascii="Times New Roman" w:hAnsi="Times New Roman" w:cs="Times New Roman"/>
              </w:rPr>
            </w:pPr>
            <w:r w:rsidRPr="00CC3223">
              <w:rPr>
                <w:rFonts w:ascii="Times New Roman" w:hAnsi="Times New Roman" w:cs="Times New Roman"/>
                <w:shd w:val="clear" w:color="auto" w:fill="FEFEFE"/>
              </w:rPr>
              <w:t>Информационната система за управление и наблюдение на средствата от Европейските структурни и инвестиционни фондове</w:t>
            </w:r>
            <w:r w:rsidRPr="00CC3223">
              <w:rPr>
                <w:rFonts w:ascii="Times New Roman" w:hAnsi="Times New Roman" w:cs="Times New Roman"/>
              </w:rPr>
              <w:t xml:space="preserve"> </w:t>
            </w:r>
          </w:p>
        </w:tc>
      </w:tr>
      <w:tr w:rsidR="00412CF4" w:rsidRPr="00CC3223" w14:paraId="1B204758" w14:textId="77777777" w:rsidTr="00A634FD">
        <w:tc>
          <w:tcPr>
            <w:tcW w:w="2235" w:type="dxa"/>
          </w:tcPr>
          <w:p w14:paraId="667E8760" w14:textId="77777777" w:rsidR="00412CF4" w:rsidRPr="00CC3223" w:rsidRDefault="00412CF4" w:rsidP="00A634FD">
            <w:pPr>
              <w:jc w:val="both"/>
              <w:rPr>
                <w:rFonts w:ascii="Times New Roman" w:hAnsi="Times New Roman" w:cs="Times New Roman"/>
                <w:b/>
                <w:color w:val="000000"/>
              </w:rPr>
            </w:pPr>
            <w:r w:rsidRPr="00CC3223">
              <w:rPr>
                <w:rFonts w:ascii="Times New Roman" w:hAnsi="Times New Roman" w:cs="Times New Roman"/>
                <w:b/>
                <w:color w:val="000000"/>
              </w:rPr>
              <w:t xml:space="preserve">КЕП </w:t>
            </w:r>
          </w:p>
        </w:tc>
        <w:tc>
          <w:tcPr>
            <w:tcW w:w="6977" w:type="dxa"/>
          </w:tcPr>
          <w:p w14:paraId="1F1C48C4" w14:textId="77777777" w:rsidR="00412CF4" w:rsidRPr="00CC3223" w:rsidRDefault="00412CF4" w:rsidP="00A634FD">
            <w:pPr>
              <w:jc w:val="both"/>
              <w:rPr>
                <w:rFonts w:ascii="Times New Roman" w:hAnsi="Times New Roman" w:cs="Times New Roman"/>
                <w:shd w:val="clear" w:color="auto" w:fill="FEFEFE"/>
              </w:rPr>
            </w:pPr>
            <w:r w:rsidRPr="00CC3223">
              <w:rPr>
                <w:rFonts w:ascii="Times New Roman" w:eastAsia="Times New Roman" w:hAnsi="Times New Roman" w:cs="Times New Roman"/>
                <w:shd w:val="clear" w:color="auto" w:fill="FEFEFE"/>
                <w:lang w:eastAsia="bg-BG"/>
              </w:rPr>
              <w:t>Квалифициран електронен подпис</w:t>
            </w:r>
          </w:p>
        </w:tc>
      </w:tr>
      <w:tr w:rsidR="00412CF4" w:rsidRPr="00CC3223" w14:paraId="3E714344" w14:textId="77777777" w:rsidTr="00A634FD">
        <w:tc>
          <w:tcPr>
            <w:tcW w:w="2235" w:type="dxa"/>
          </w:tcPr>
          <w:p w14:paraId="405DC107" w14:textId="77777777" w:rsidR="00412CF4" w:rsidRPr="00CC3223" w:rsidRDefault="00412CF4" w:rsidP="00A634FD">
            <w:pPr>
              <w:jc w:val="both"/>
              <w:rPr>
                <w:rFonts w:ascii="Times New Roman" w:hAnsi="Times New Roman" w:cs="Times New Roman"/>
                <w:b/>
              </w:rPr>
            </w:pPr>
            <w:r w:rsidRPr="00CC3223">
              <w:rPr>
                <w:rFonts w:ascii="Times New Roman" w:hAnsi="Times New Roman" w:cs="Times New Roman"/>
                <w:b/>
                <w:color w:val="000000"/>
              </w:rPr>
              <w:t>КСС</w:t>
            </w:r>
          </w:p>
        </w:tc>
        <w:tc>
          <w:tcPr>
            <w:tcW w:w="6977" w:type="dxa"/>
          </w:tcPr>
          <w:p w14:paraId="67C2FD03" w14:textId="77777777" w:rsidR="00412CF4" w:rsidRPr="00CC3223" w:rsidRDefault="00412CF4" w:rsidP="00A634FD">
            <w:pPr>
              <w:jc w:val="both"/>
              <w:rPr>
                <w:rFonts w:ascii="Times New Roman" w:hAnsi="Times New Roman" w:cs="Times New Roman"/>
              </w:rPr>
            </w:pPr>
            <w:r w:rsidRPr="00CC3223">
              <w:rPr>
                <w:rFonts w:ascii="Times New Roman" w:hAnsi="Times New Roman" w:cs="Times New Roman"/>
              </w:rPr>
              <w:t xml:space="preserve">Количествено-стойностни </w:t>
            </w:r>
          </w:p>
        </w:tc>
      </w:tr>
      <w:tr w:rsidR="00412CF4" w:rsidRPr="00CC3223" w14:paraId="4809D7AF" w14:textId="77777777" w:rsidTr="00A634FD">
        <w:tc>
          <w:tcPr>
            <w:tcW w:w="2235" w:type="dxa"/>
          </w:tcPr>
          <w:p w14:paraId="1A2E661E" w14:textId="77777777" w:rsidR="00412CF4" w:rsidRPr="00CC3223" w:rsidRDefault="00412CF4" w:rsidP="00A634FD">
            <w:pPr>
              <w:jc w:val="both"/>
              <w:rPr>
                <w:rFonts w:ascii="Times New Roman" w:hAnsi="Times New Roman" w:cs="Times New Roman"/>
                <w:b/>
              </w:rPr>
            </w:pPr>
            <w:r w:rsidRPr="00CC3223">
              <w:rPr>
                <w:rFonts w:ascii="Times New Roman" w:hAnsi="Times New Roman" w:cs="Times New Roman"/>
                <w:b/>
                <w:color w:val="000000"/>
              </w:rPr>
              <w:t>МЗХГ</w:t>
            </w:r>
          </w:p>
        </w:tc>
        <w:tc>
          <w:tcPr>
            <w:tcW w:w="6977" w:type="dxa"/>
          </w:tcPr>
          <w:p w14:paraId="01103B49" w14:textId="77777777" w:rsidR="00412CF4" w:rsidRPr="00CC3223" w:rsidRDefault="00412CF4" w:rsidP="00A634FD">
            <w:pPr>
              <w:jc w:val="both"/>
              <w:rPr>
                <w:rFonts w:ascii="Times New Roman" w:hAnsi="Times New Roman" w:cs="Times New Roman"/>
              </w:rPr>
            </w:pPr>
            <w:r w:rsidRPr="00CC3223">
              <w:rPr>
                <w:rFonts w:ascii="Times New Roman" w:hAnsi="Times New Roman" w:cs="Times New Roman"/>
              </w:rPr>
              <w:t>Министерство на земеделието, храните и горите</w:t>
            </w:r>
          </w:p>
          <w:p w14:paraId="66BEFD57" w14:textId="77777777" w:rsidR="00412CF4" w:rsidRPr="00CC3223" w:rsidRDefault="00412CF4" w:rsidP="00A634FD">
            <w:pPr>
              <w:jc w:val="both"/>
              <w:rPr>
                <w:rFonts w:ascii="Times New Roman" w:hAnsi="Times New Roman" w:cs="Times New Roman"/>
              </w:rPr>
            </w:pPr>
          </w:p>
        </w:tc>
      </w:tr>
      <w:tr w:rsidR="00412CF4" w:rsidRPr="00CC3223" w14:paraId="33B03624" w14:textId="77777777" w:rsidTr="00A634FD">
        <w:tc>
          <w:tcPr>
            <w:tcW w:w="2235" w:type="dxa"/>
          </w:tcPr>
          <w:p w14:paraId="3CA43B27" w14:textId="77777777" w:rsidR="00412CF4" w:rsidRPr="00CC3223" w:rsidRDefault="00412CF4" w:rsidP="00A634FD">
            <w:pPr>
              <w:jc w:val="both"/>
              <w:rPr>
                <w:rFonts w:ascii="Times New Roman" w:hAnsi="Times New Roman" w:cs="Times New Roman"/>
                <w:b/>
              </w:rPr>
            </w:pPr>
            <w:r w:rsidRPr="00CC3223">
              <w:rPr>
                <w:rFonts w:ascii="Times New Roman" w:hAnsi="Times New Roman" w:cs="Times New Roman"/>
                <w:b/>
                <w:color w:val="000000"/>
              </w:rPr>
              <w:t>ОВ</w:t>
            </w:r>
          </w:p>
        </w:tc>
        <w:tc>
          <w:tcPr>
            <w:tcW w:w="6977" w:type="dxa"/>
          </w:tcPr>
          <w:p w14:paraId="037E1433" w14:textId="77777777" w:rsidR="00412CF4" w:rsidRPr="00CC3223" w:rsidRDefault="00412CF4" w:rsidP="00A634FD">
            <w:pPr>
              <w:jc w:val="both"/>
              <w:rPr>
                <w:rFonts w:ascii="Times New Roman" w:hAnsi="Times New Roman" w:cs="Times New Roman"/>
              </w:rPr>
            </w:pPr>
            <w:r w:rsidRPr="00CC3223">
              <w:rPr>
                <w:rFonts w:ascii="Times New Roman" w:hAnsi="Times New Roman" w:cs="Times New Roman"/>
              </w:rPr>
              <w:t>Официален вестник на ЕС</w:t>
            </w:r>
          </w:p>
          <w:p w14:paraId="16D99184" w14:textId="77777777" w:rsidR="00412CF4" w:rsidRPr="00CC3223" w:rsidRDefault="00412CF4" w:rsidP="00A634FD">
            <w:pPr>
              <w:jc w:val="both"/>
              <w:rPr>
                <w:rFonts w:ascii="Times New Roman" w:hAnsi="Times New Roman" w:cs="Times New Roman"/>
              </w:rPr>
            </w:pPr>
          </w:p>
        </w:tc>
      </w:tr>
      <w:tr w:rsidR="00412CF4" w:rsidRPr="00CC3223" w14:paraId="4E6B4ADB" w14:textId="77777777" w:rsidTr="00A634FD">
        <w:tc>
          <w:tcPr>
            <w:tcW w:w="2235" w:type="dxa"/>
          </w:tcPr>
          <w:p w14:paraId="0A19DDF8" w14:textId="77777777" w:rsidR="00412CF4" w:rsidRPr="00CC3223" w:rsidRDefault="00412CF4" w:rsidP="00A634FD">
            <w:pPr>
              <w:jc w:val="both"/>
              <w:rPr>
                <w:rFonts w:ascii="Times New Roman" w:hAnsi="Times New Roman" w:cs="Times New Roman"/>
                <w:b/>
                <w:color w:val="000000"/>
              </w:rPr>
            </w:pPr>
            <w:r w:rsidRPr="00CC3223">
              <w:rPr>
                <w:rFonts w:ascii="Times New Roman" w:hAnsi="Times New Roman" w:cs="Times New Roman"/>
                <w:b/>
                <w:color w:val="000000"/>
              </w:rPr>
              <w:t>ПРСР 2014 – 2020 г.</w:t>
            </w:r>
          </w:p>
        </w:tc>
        <w:tc>
          <w:tcPr>
            <w:tcW w:w="6977" w:type="dxa"/>
          </w:tcPr>
          <w:p w14:paraId="1D65333C" w14:textId="77777777" w:rsidR="00412CF4" w:rsidRPr="00CC3223" w:rsidRDefault="00412CF4" w:rsidP="00A634FD">
            <w:pPr>
              <w:jc w:val="both"/>
              <w:rPr>
                <w:rFonts w:ascii="Times New Roman" w:hAnsi="Times New Roman" w:cs="Times New Roman"/>
              </w:rPr>
            </w:pPr>
            <w:r w:rsidRPr="00CC3223">
              <w:rPr>
                <w:rFonts w:ascii="Times New Roman" w:hAnsi="Times New Roman" w:cs="Times New Roman"/>
              </w:rPr>
              <w:t>Програма за развитие на селските райони за периода 2014 – 2020 г.</w:t>
            </w:r>
          </w:p>
        </w:tc>
      </w:tr>
      <w:tr w:rsidR="00412CF4" w:rsidRPr="00CC3223" w14:paraId="7DDBB740" w14:textId="77777777" w:rsidTr="00A634FD">
        <w:tc>
          <w:tcPr>
            <w:tcW w:w="2235" w:type="dxa"/>
          </w:tcPr>
          <w:p w14:paraId="05238708" w14:textId="77777777" w:rsidR="00412CF4" w:rsidRPr="00CC3223" w:rsidRDefault="00412CF4" w:rsidP="00A634FD">
            <w:pPr>
              <w:jc w:val="both"/>
              <w:rPr>
                <w:rFonts w:ascii="Times New Roman" w:hAnsi="Times New Roman" w:cs="Times New Roman"/>
                <w:b/>
                <w:color w:val="000000"/>
              </w:rPr>
            </w:pPr>
            <w:r w:rsidRPr="00CC3223">
              <w:rPr>
                <w:rFonts w:ascii="Times New Roman" w:hAnsi="Times New Roman" w:cs="Times New Roman"/>
                <w:b/>
                <w:color w:val="000000"/>
              </w:rPr>
              <w:t>ПМС</w:t>
            </w:r>
          </w:p>
        </w:tc>
        <w:tc>
          <w:tcPr>
            <w:tcW w:w="6977" w:type="dxa"/>
          </w:tcPr>
          <w:p w14:paraId="3EFFFEB8" w14:textId="77777777" w:rsidR="00412CF4" w:rsidRPr="00CC3223" w:rsidRDefault="00412CF4" w:rsidP="00A634FD">
            <w:pPr>
              <w:jc w:val="both"/>
              <w:rPr>
                <w:rFonts w:ascii="Times New Roman" w:hAnsi="Times New Roman" w:cs="Times New Roman"/>
              </w:rPr>
            </w:pPr>
            <w:r w:rsidRPr="00CC3223">
              <w:rPr>
                <w:rFonts w:ascii="Times New Roman" w:hAnsi="Times New Roman" w:cs="Times New Roman"/>
              </w:rPr>
              <w:t>Постановление на Министерски съвет</w:t>
            </w:r>
          </w:p>
        </w:tc>
      </w:tr>
      <w:tr w:rsidR="00412CF4" w:rsidRPr="00CC3223" w14:paraId="327F6D55" w14:textId="77777777" w:rsidTr="00A634FD">
        <w:tc>
          <w:tcPr>
            <w:tcW w:w="2235" w:type="dxa"/>
          </w:tcPr>
          <w:p w14:paraId="71120D5B" w14:textId="77777777" w:rsidR="00412CF4" w:rsidRPr="00CC3223" w:rsidRDefault="00412CF4" w:rsidP="00A634FD">
            <w:pPr>
              <w:jc w:val="both"/>
              <w:rPr>
                <w:rFonts w:ascii="Times New Roman" w:hAnsi="Times New Roman" w:cs="Times New Roman"/>
                <w:b/>
                <w:color w:val="000000"/>
              </w:rPr>
            </w:pPr>
            <w:r w:rsidRPr="00CC3223">
              <w:rPr>
                <w:rFonts w:ascii="Times New Roman" w:hAnsi="Times New Roman" w:cs="Times New Roman"/>
                <w:b/>
                <w:color w:val="000000"/>
              </w:rPr>
              <w:t>РУО</w:t>
            </w:r>
          </w:p>
        </w:tc>
        <w:tc>
          <w:tcPr>
            <w:tcW w:w="6977" w:type="dxa"/>
          </w:tcPr>
          <w:p w14:paraId="5C9746AE" w14:textId="77777777" w:rsidR="00412CF4" w:rsidRPr="00CC3223" w:rsidRDefault="00412CF4" w:rsidP="00A634FD">
            <w:pPr>
              <w:jc w:val="both"/>
              <w:rPr>
                <w:rFonts w:ascii="Times New Roman" w:hAnsi="Times New Roman" w:cs="Times New Roman"/>
              </w:rPr>
            </w:pPr>
            <w:r w:rsidRPr="00CC3223">
              <w:rPr>
                <w:rFonts w:ascii="Times New Roman" w:hAnsi="Times New Roman" w:cs="Times New Roman"/>
              </w:rPr>
              <w:t>Ръководител на управляващият орган</w:t>
            </w:r>
          </w:p>
        </w:tc>
      </w:tr>
      <w:tr w:rsidR="00412CF4" w:rsidRPr="00CC3223" w14:paraId="1E3F9C55" w14:textId="77777777" w:rsidTr="00A634FD">
        <w:tc>
          <w:tcPr>
            <w:tcW w:w="2235" w:type="dxa"/>
          </w:tcPr>
          <w:p w14:paraId="5D9233D6" w14:textId="77777777" w:rsidR="00412CF4" w:rsidRPr="00CC3223" w:rsidRDefault="00412CF4" w:rsidP="00A634FD">
            <w:pPr>
              <w:jc w:val="both"/>
              <w:rPr>
                <w:rFonts w:ascii="Times New Roman" w:hAnsi="Times New Roman" w:cs="Times New Roman"/>
                <w:b/>
                <w:color w:val="000000"/>
              </w:rPr>
            </w:pPr>
            <w:r w:rsidRPr="00CC3223">
              <w:rPr>
                <w:rFonts w:ascii="Times New Roman" w:hAnsi="Times New Roman" w:cs="Times New Roman"/>
                <w:b/>
                <w:color w:val="000000"/>
              </w:rPr>
              <w:t>СМР</w:t>
            </w:r>
          </w:p>
        </w:tc>
        <w:tc>
          <w:tcPr>
            <w:tcW w:w="6977" w:type="dxa"/>
          </w:tcPr>
          <w:p w14:paraId="4CDB9067" w14:textId="77777777" w:rsidR="00412CF4" w:rsidRPr="00CC3223" w:rsidRDefault="00412CF4" w:rsidP="00A634FD">
            <w:pPr>
              <w:jc w:val="both"/>
              <w:rPr>
                <w:rFonts w:ascii="Times New Roman" w:hAnsi="Times New Roman" w:cs="Times New Roman"/>
              </w:rPr>
            </w:pPr>
            <w:r w:rsidRPr="00CC3223">
              <w:rPr>
                <w:rFonts w:ascii="Times New Roman" w:hAnsi="Times New Roman" w:cs="Times New Roman"/>
              </w:rPr>
              <w:t>Строително-монтажни работи</w:t>
            </w:r>
          </w:p>
        </w:tc>
      </w:tr>
      <w:tr w:rsidR="00412CF4" w:rsidRPr="00CC3223" w14:paraId="0DC5A235" w14:textId="77777777" w:rsidTr="00A634FD">
        <w:tc>
          <w:tcPr>
            <w:tcW w:w="2235" w:type="dxa"/>
          </w:tcPr>
          <w:p w14:paraId="095D255A" w14:textId="77777777" w:rsidR="00412CF4" w:rsidRPr="00CC3223" w:rsidRDefault="00412CF4" w:rsidP="00A634FD">
            <w:pPr>
              <w:jc w:val="both"/>
              <w:rPr>
                <w:rFonts w:ascii="Times New Roman" w:hAnsi="Times New Roman" w:cs="Times New Roman"/>
                <w:b/>
                <w:color w:val="000000"/>
              </w:rPr>
            </w:pPr>
            <w:r w:rsidRPr="00CC3223">
              <w:rPr>
                <w:rFonts w:ascii="Times New Roman" w:hAnsi="Times New Roman" w:cs="Times New Roman"/>
                <w:b/>
                <w:color w:val="000000"/>
              </w:rPr>
              <w:t>УО</w:t>
            </w:r>
          </w:p>
        </w:tc>
        <w:tc>
          <w:tcPr>
            <w:tcW w:w="6977" w:type="dxa"/>
          </w:tcPr>
          <w:p w14:paraId="556E9136" w14:textId="77777777" w:rsidR="00412CF4" w:rsidRPr="00CC3223" w:rsidRDefault="00412CF4" w:rsidP="00A634FD">
            <w:pPr>
              <w:jc w:val="both"/>
              <w:rPr>
                <w:rFonts w:ascii="Times New Roman" w:hAnsi="Times New Roman" w:cs="Times New Roman"/>
              </w:rPr>
            </w:pPr>
            <w:r w:rsidRPr="00CC3223">
              <w:rPr>
                <w:rFonts w:ascii="Times New Roman" w:hAnsi="Times New Roman" w:cs="Times New Roman"/>
              </w:rPr>
              <w:t>Управляващ орган</w:t>
            </w:r>
          </w:p>
        </w:tc>
      </w:tr>
    </w:tbl>
    <w:p w14:paraId="26B060B3" w14:textId="77777777" w:rsidR="00132B9C" w:rsidRPr="007713C1" w:rsidRDefault="00132B9C" w:rsidP="00462B4A">
      <w:pPr>
        <w:pStyle w:val="Heading1"/>
        <w:pageBreakBefore/>
      </w:pPr>
      <w:bookmarkStart w:id="0" w:name="_Toc442298704"/>
      <w:bookmarkStart w:id="1" w:name="_Toc445385556"/>
      <w:bookmarkStart w:id="2" w:name="_Toc534292197"/>
      <w:r w:rsidRPr="007713C1">
        <w:lastRenderedPageBreak/>
        <w:t>1. Наименование на програмата:</w:t>
      </w:r>
      <w:bookmarkEnd w:id="0"/>
      <w:bookmarkEnd w:id="1"/>
      <w:bookmarkEnd w:id="2"/>
    </w:p>
    <w:p w14:paraId="577A6D2C" w14:textId="77777777" w:rsidR="0010018A" w:rsidRPr="007713C1" w:rsidRDefault="007A5B9B" w:rsidP="002325A3">
      <w:pPr>
        <w:pStyle w:val="ListParagraph"/>
        <w:pBdr>
          <w:top w:val="single" w:sz="4" w:space="1" w:color="auto"/>
          <w:left w:val="single" w:sz="4" w:space="4" w:color="auto"/>
          <w:bottom w:val="single" w:sz="4" w:space="1" w:color="auto"/>
          <w:right w:val="single" w:sz="4" w:space="4" w:color="auto"/>
        </w:pBdr>
        <w:spacing w:after="360" w:line="240" w:lineRule="auto"/>
        <w:ind w:left="0"/>
        <w:jc w:val="both"/>
        <w:rPr>
          <w:rFonts w:ascii="Times New Roman" w:hAnsi="Times New Roman" w:cs="Times New Roman"/>
          <w:b/>
          <w:sz w:val="24"/>
          <w:szCs w:val="24"/>
        </w:rPr>
      </w:pPr>
      <w:r>
        <w:rPr>
          <w:rFonts w:ascii="Times New Roman" w:hAnsi="Times New Roman" w:cs="Times New Roman"/>
          <w:sz w:val="24"/>
          <w:szCs w:val="24"/>
        </w:rPr>
        <w:t>Програма за развитие на селските райони</w:t>
      </w:r>
      <w:r w:rsidR="00341037">
        <w:rPr>
          <w:rFonts w:ascii="Times New Roman" w:hAnsi="Times New Roman" w:cs="Times New Roman"/>
          <w:sz w:val="24"/>
          <w:szCs w:val="24"/>
        </w:rPr>
        <w:t xml:space="preserve"> (ПРСР)</w:t>
      </w:r>
      <w:r w:rsidR="00C8067E" w:rsidRPr="007713C1">
        <w:rPr>
          <w:rFonts w:ascii="Times New Roman" w:hAnsi="Times New Roman" w:cs="Times New Roman"/>
          <w:sz w:val="24"/>
          <w:szCs w:val="24"/>
        </w:rPr>
        <w:t xml:space="preserve"> 2014-2020</w:t>
      </w:r>
      <w:r w:rsidR="001737C2" w:rsidRPr="00B810A0">
        <w:rPr>
          <w:rFonts w:ascii="Times New Roman" w:hAnsi="Times New Roman" w:cs="Times New Roman"/>
          <w:sz w:val="24"/>
          <w:szCs w:val="24"/>
        </w:rPr>
        <w:t xml:space="preserve"> </w:t>
      </w:r>
      <w:r w:rsidR="001737C2">
        <w:rPr>
          <w:rFonts w:ascii="Times New Roman" w:hAnsi="Times New Roman" w:cs="Times New Roman"/>
          <w:sz w:val="24"/>
          <w:szCs w:val="24"/>
        </w:rPr>
        <w:t>чрез Водено от общностите местно развитие</w:t>
      </w:r>
      <w:r w:rsidR="00245C8D">
        <w:rPr>
          <w:rFonts w:ascii="Times New Roman" w:hAnsi="Times New Roman" w:cs="Times New Roman"/>
          <w:sz w:val="24"/>
          <w:szCs w:val="24"/>
        </w:rPr>
        <w:t>.</w:t>
      </w:r>
    </w:p>
    <w:p w14:paraId="0EBB0907" w14:textId="77777777" w:rsidR="008A2A1F" w:rsidRPr="007713C1" w:rsidRDefault="008A2A1F" w:rsidP="007570DC">
      <w:pPr>
        <w:pStyle w:val="Heading1"/>
      </w:pPr>
      <w:bookmarkStart w:id="3" w:name="_Toc445385563"/>
      <w:bookmarkStart w:id="4" w:name="_Toc534292198"/>
      <w:r w:rsidRPr="007713C1">
        <w:t>2. Наименование на приоритетната ос:</w:t>
      </w:r>
      <w:bookmarkEnd w:id="3"/>
      <w:bookmarkEnd w:id="4"/>
    </w:p>
    <w:p w14:paraId="548C82A5" w14:textId="1BE0FE51" w:rsidR="008D45C0" w:rsidRPr="003515F3" w:rsidRDefault="003A00F2" w:rsidP="007570DC">
      <w:pPr>
        <w:pStyle w:val="ListParagraph"/>
        <w:pBdr>
          <w:top w:val="single" w:sz="4" w:space="1" w:color="auto"/>
          <w:left w:val="single" w:sz="4" w:space="4" w:color="auto"/>
          <w:bottom w:val="single" w:sz="4" w:space="1" w:color="auto"/>
          <w:right w:val="single" w:sz="4" w:space="4" w:color="auto"/>
        </w:pBdr>
        <w:spacing w:before="120" w:after="120" w:line="240" w:lineRule="auto"/>
        <w:ind w:left="0"/>
        <w:jc w:val="both"/>
        <w:rPr>
          <w:rFonts w:ascii="Times New Roman" w:hAnsi="Times New Roman" w:cs="Times New Roman"/>
          <w:sz w:val="24"/>
          <w:szCs w:val="24"/>
        </w:rPr>
      </w:pPr>
      <w:r>
        <w:rPr>
          <w:rFonts w:ascii="Times New Roman" w:hAnsi="Times New Roman" w:cs="Times New Roman"/>
          <w:sz w:val="24"/>
          <w:szCs w:val="24"/>
        </w:rPr>
        <w:t>Неприложимо.</w:t>
      </w:r>
    </w:p>
    <w:p w14:paraId="5980E62A" w14:textId="77777777" w:rsidR="000D139D" w:rsidRPr="007713C1" w:rsidRDefault="000D139D" w:rsidP="007570DC">
      <w:pPr>
        <w:pStyle w:val="Heading1"/>
      </w:pPr>
      <w:bookmarkStart w:id="5" w:name="_Toc445385564"/>
      <w:bookmarkStart w:id="6" w:name="_Toc534292199"/>
      <w:r w:rsidRPr="007713C1">
        <w:t>3. Наименование на процедурата:</w:t>
      </w:r>
      <w:bookmarkEnd w:id="5"/>
      <w:bookmarkEnd w:id="6"/>
    </w:p>
    <w:p w14:paraId="410AC4DB" w14:textId="0EEFB385" w:rsidR="00A11A19" w:rsidRPr="00B238FF" w:rsidRDefault="00B238FF" w:rsidP="007570DC">
      <w:pPr>
        <w:pStyle w:val="ListParagraph"/>
        <w:pBdr>
          <w:top w:val="single" w:sz="4" w:space="1" w:color="auto"/>
          <w:left w:val="single" w:sz="4" w:space="4" w:color="auto"/>
          <w:bottom w:val="single" w:sz="4" w:space="1" w:color="auto"/>
          <w:right w:val="single" w:sz="4" w:space="4" w:color="auto"/>
        </w:pBdr>
        <w:spacing w:before="120" w:after="120" w:line="240" w:lineRule="auto"/>
        <w:ind w:left="0"/>
        <w:jc w:val="both"/>
        <w:rPr>
          <w:rFonts w:ascii="Times New Roman" w:hAnsi="Times New Roman" w:cs="Times New Roman"/>
          <w:sz w:val="24"/>
          <w:szCs w:val="24"/>
        </w:rPr>
      </w:pPr>
      <w:r w:rsidRPr="002953B4">
        <w:rPr>
          <w:rFonts w:ascii="Times New Roman" w:hAnsi="Times New Roman" w:cs="Times New Roman"/>
          <w:sz w:val="24"/>
          <w:szCs w:val="24"/>
        </w:rPr>
        <w:t xml:space="preserve">Процедура чрез подбор на проектни предложения </w:t>
      </w:r>
      <w:r w:rsidRPr="00B238FF">
        <w:rPr>
          <w:rFonts w:ascii="Times New Roman" w:hAnsi="Times New Roman" w:cs="Times New Roman"/>
          <w:sz w:val="24"/>
          <w:szCs w:val="24"/>
        </w:rPr>
        <w:t xml:space="preserve">№ </w:t>
      </w:r>
      <w:r w:rsidR="006546D1" w:rsidRPr="00B238FF">
        <w:rPr>
          <w:rFonts w:ascii="Times New Roman" w:hAnsi="Times New Roman" w:cs="Times New Roman"/>
          <w:sz w:val="24"/>
          <w:szCs w:val="24"/>
        </w:rPr>
        <w:t xml:space="preserve">BG06RDNP001-19.002 </w:t>
      </w:r>
      <w:r w:rsidR="008916EB" w:rsidRPr="00B238FF">
        <w:rPr>
          <w:rFonts w:ascii="Times New Roman" w:hAnsi="Times New Roman" w:cs="Times New Roman"/>
          <w:sz w:val="24"/>
          <w:szCs w:val="24"/>
        </w:rPr>
        <w:t>МИГ_Поморие_10_1_</w:t>
      </w:r>
      <w:r w:rsidR="00447514">
        <w:rPr>
          <w:rFonts w:ascii="Times New Roman" w:hAnsi="Times New Roman" w:cs="Times New Roman"/>
          <w:sz w:val="24"/>
          <w:szCs w:val="24"/>
          <w:lang w:val="en-US"/>
        </w:rPr>
        <w:t xml:space="preserve">7.2. </w:t>
      </w:r>
      <w:r w:rsidR="008916EB" w:rsidRPr="00B238FF">
        <w:rPr>
          <w:rFonts w:ascii="Times New Roman" w:hAnsi="Times New Roman" w:cs="Times New Roman"/>
          <w:sz w:val="24"/>
          <w:szCs w:val="24"/>
        </w:rPr>
        <w:t>М4_</w:t>
      </w:r>
      <w:r w:rsidR="00D73770" w:rsidRPr="00B238FF">
        <w:rPr>
          <w:rFonts w:ascii="Times New Roman" w:hAnsi="Times New Roman" w:cs="Times New Roman"/>
          <w:sz w:val="24"/>
          <w:szCs w:val="24"/>
        </w:rPr>
        <w:t>“</w:t>
      </w:r>
      <w:r w:rsidR="00E02929" w:rsidRPr="00B238FF">
        <w:rPr>
          <w:rFonts w:ascii="Times New Roman" w:hAnsi="Times New Roman" w:cs="Times New Roman"/>
          <w:sz w:val="24"/>
          <w:szCs w:val="24"/>
        </w:rPr>
        <w:t xml:space="preserve">Инвестиции в </w:t>
      </w:r>
      <w:r w:rsidR="009F5000" w:rsidRPr="00B238FF">
        <w:rPr>
          <w:rFonts w:ascii="Times New Roman" w:hAnsi="Times New Roman" w:cs="Times New Roman"/>
          <w:sz w:val="24"/>
          <w:szCs w:val="24"/>
        </w:rPr>
        <w:t>създаването, подобряването или разширяването на всички видове малка по мащаби инфраструктура</w:t>
      </w:r>
      <w:r w:rsidR="00D73770" w:rsidRPr="00B238FF">
        <w:rPr>
          <w:rFonts w:ascii="Times New Roman" w:hAnsi="Times New Roman" w:cs="Times New Roman"/>
          <w:sz w:val="24"/>
          <w:szCs w:val="24"/>
        </w:rPr>
        <w:t>”</w:t>
      </w:r>
    </w:p>
    <w:p w14:paraId="552ED91A" w14:textId="77777777" w:rsidR="00A11A19" w:rsidRPr="007713C1" w:rsidRDefault="00A11A19" w:rsidP="007570DC">
      <w:pPr>
        <w:pStyle w:val="Heading1"/>
      </w:pPr>
      <w:bookmarkStart w:id="7" w:name="_Toc445385565"/>
      <w:bookmarkStart w:id="8" w:name="_Toc534292200"/>
      <w:r w:rsidRPr="007713C1">
        <w:t>4. Измерения по кодове</w:t>
      </w:r>
      <w:r w:rsidR="00D467D3" w:rsidRPr="007713C1">
        <w:rPr>
          <w:rStyle w:val="FootnoteReference"/>
          <w:b w:val="0"/>
        </w:rPr>
        <w:footnoteReference w:id="1"/>
      </w:r>
      <w:r w:rsidRPr="007713C1">
        <w:t>:</w:t>
      </w:r>
      <w:bookmarkEnd w:id="7"/>
      <w:bookmarkEnd w:id="8"/>
      <w:r w:rsidR="002325A3" w:rsidRPr="007713C1">
        <w:t xml:space="preserve">  </w:t>
      </w:r>
    </w:p>
    <w:tbl>
      <w:tblPr>
        <w:tblStyle w:val="TableGrid"/>
        <w:tblW w:w="9606" w:type="dxa"/>
        <w:tblLook w:val="04A0" w:firstRow="1" w:lastRow="0" w:firstColumn="1" w:lastColumn="0" w:noHBand="0" w:noVBand="1"/>
      </w:tblPr>
      <w:tblGrid>
        <w:gridCol w:w="9606"/>
      </w:tblGrid>
      <w:tr w:rsidR="00A11A19" w:rsidRPr="007713C1" w14:paraId="091EA417" w14:textId="77777777" w:rsidTr="007570DC">
        <w:tc>
          <w:tcPr>
            <w:tcW w:w="9606" w:type="dxa"/>
          </w:tcPr>
          <w:p w14:paraId="2E302C42" w14:textId="3AEF236D" w:rsidR="00A0679D" w:rsidRPr="00336771" w:rsidRDefault="00B238FF" w:rsidP="00FD78FC">
            <w:pPr>
              <w:pStyle w:val="ListParagraph"/>
              <w:spacing w:before="120" w:after="120"/>
              <w:ind w:left="0"/>
              <w:contextualSpacing w:val="0"/>
              <w:jc w:val="both"/>
              <w:rPr>
                <w:color w:val="FF0000"/>
                <w:sz w:val="24"/>
                <w:szCs w:val="24"/>
              </w:rPr>
            </w:pPr>
            <w:r w:rsidRPr="002953B4">
              <w:rPr>
                <w:sz w:val="24"/>
                <w:szCs w:val="24"/>
              </w:rPr>
              <w:t>Неприложимо</w:t>
            </w:r>
            <w:r w:rsidR="002953B4">
              <w:rPr>
                <w:sz w:val="24"/>
                <w:szCs w:val="24"/>
              </w:rPr>
              <w:t>.</w:t>
            </w:r>
          </w:p>
        </w:tc>
      </w:tr>
    </w:tbl>
    <w:p w14:paraId="7789BE19" w14:textId="77777777" w:rsidR="00C338A6" w:rsidRPr="007713C1" w:rsidRDefault="00C338A6" w:rsidP="007570DC">
      <w:pPr>
        <w:pStyle w:val="Heading1"/>
      </w:pPr>
      <w:bookmarkStart w:id="9" w:name="_Toc445385566"/>
      <w:bookmarkStart w:id="10" w:name="_Toc534292201"/>
      <w:r w:rsidRPr="007713C1">
        <w:t>5. Териториален обхват:</w:t>
      </w:r>
      <w:bookmarkEnd w:id="9"/>
      <w:bookmarkEnd w:id="10"/>
    </w:p>
    <w:p w14:paraId="7A4ECAAD" w14:textId="77777777" w:rsidR="00B22AC3" w:rsidRPr="00B22AC3" w:rsidRDefault="00B22AC3" w:rsidP="007570DC">
      <w:pPr>
        <w:pStyle w:val="ListParagraph"/>
        <w:pBdr>
          <w:top w:val="single" w:sz="4" w:space="1" w:color="auto"/>
          <w:left w:val="single" w:sz="4" w:space="4" w:color="auto"/>
          <w:bottom w:val="single" w:sz="4" w:space="1" w:color="auto"/>
          <w:right w:val="single" w:sz="4" w:space="4" w:color="auto"/>
        </w:pBdr>
        <w:spacing w:after="360" w:line="240" w:lineRule="auto"/>
        <w:ind w:left="0"/>
        <w:jc w:val="both"/>
        <w:rPr>
          <w:rFonts w:ascii="Times New Roman" w:hAnsi="Times New Roman" w:cs="Times New Roman"/>
          <w:sz w:val="24"/>
          <w:szCs w:val="24"/>
        </w:rPr>
      </w:pPr>
      <w:r w:rsidRPr="00B22AC3">
        <w:rPr>
          <w:rFonts w:ascii="Times New Roman" w:hAnsi="Times New Roman" w:cs="Times New Roman"/>
          <w:sz w:val="24"/>
          <w:szCs w:val="24"/>
        </w:rPr>
        <w:t>Проектите се изпълняват на територията на МИГ-Поморие.</w:t>
      </w:r>
    </w:p>
    <w:p w14:paraId="3BC249F5" w14:textId="77777777" w:rsidR="00BA0A9F" w:rsidRPr="007713C1" w:rsidRDefault="00C338A6" w:rsidP="007570DC">
      <w:pPr>
        <w:pStyle w:val="Heading1"/>
      </w:pPr>
      <w:bookmarkStart w:id="11" w:name="_Toc445385567"/>
      <w:bookmarkStart w:id="12" w:name="_Toc534292202"/>
      <w:r w:rsidRPr="007713C1">
        <w:t>6. Цели на предоставяната безвъзмездна финансова помощ по процедурата и очаквани резултати:</w:t>
      </w:r>
      <w:bookmarkEnd w:id="11"/>
      <w:bookmarkEnd w:id="12"/>
    </w:p>
    <w:tbl>
      <w:tblPr>
        <w:tblStyle w:val="TableGrid"/>
        <w:tblW w:w="0" w:type="auto"/>
        <w:tblLook w:val="04A0" w:firstRow="1" w:lastRow="0" w:firstColumn="1" w:lastColumn="0" w:noHBand="0" w:noVBand="1"/>
      </w:tblPr>
      <w:tblGrid>
        <w:gridCol w:w="9346"/>
      </w:tblGrid>
      <w:tr w:rsidR="00BA0A9F" w:rsidRPr="007713C1" w14:paraId="4FAEF505" w14:textId="77777777" w:rsidTr="00BA0A9F">
        <w:tc>
          <w:tcPr>
            <w:tcW w:w="9496" w:type="dxa"/>
          </w:tcPr>
          <w:p w14:paraId="279C0044" w14:textId="77777777" w:rsidR="00153C49" w:rsidRDefault="00BA0A9F" w:rsidP="00BA0A9F">
            <w:pPr>
              <w:pStyle w:val="ListParagraph"/>
              <w:spacing w:before="120" w:after="120"/>
              <w:ind w:left="0"/>
              <w:jc w:val="both"/>
              <w:rPr>
                <w:b/>
                <w:sz w:val="24"/>
                <w:szCs w:val="24"/>
              </w:rPr>
            </w:pPr>
            <w:r w:rsidRPr="007713C1">
              <w:rPr>
                <w:b/>
                <w:sz w:val="24"/>
                <w:szCs w:val="24"/>
              </w:rPr>
              <w:t>Цел</w:t>
            </w:r>
            <w:r w:rsidR="00935E1E">
              <w:rPr>
                <w:b/>
                <w:sz w:val="24"/>
                <w:szCs w:val="24"/>
              </w:rPr>
              <w:t>и</w:t>
            </w:r>
            <w:r w:rsidRPr="007713C1">
              <w:rPr>
                <w:b/>
                <w:sz w:val="24"/>
                <w:szCs w:val="24"/>
              </w:rPr>
              <w:t xml:space="preserve"> на процедурата:</w:t>
            </w:r>
          </w:p>
          <w:p w14:paraId="26C2F663" w14:textId="77777777" w:rsidR="00FD34BA" w:rsidRPr="00D4144D" w:rsidRDefault="00FD34BA" w:rsidP="00D4144D">
            <w:pPr>
              <w:pStyle w:val="ListParagraph"/>
              <w:numPr>
                <w:ilvl w:val="0"/>
                <w:numId w:val="8"/>
              </w:numPr>
              <w:autoSpaceDE w:val="0"/>
              <w:autoSpaceDN w:val="0"/>
              <w:adjustRightInd w:val="0"/>
              <w:jc w:val="both"/>
              <w:rPr>
                <w:color w:val="000000"/>
                <w:sz w:val="24"/>
                <w:szCs w:val="24"/>
              </w:rPr>
            </w:pPr>
            <w:r w:rsidRPr="00D4144D">
              <w:rPr>
                <w:color w:val="000000"/>
                <w:sz w:val="24"/>
                <w:szCs w:val="24"/>
              </w:rPr>
              <w:t>Повишаване на привлекателността на населените места в община Поморие;</w:t>
            </w:r>
          </w:p>
          <w:p w14:paraId="1BF9EC78" w14:textId="79A32658" w:rsidR="00A0679D" w:rsidRPr="00DB14EC" w:rsidRDefault="00FD34BA" w:rsidP="00DB14EC">
            <w:pPr>
              <w:pStyle w:val="ListParagraph"/>
              <w:numPr>
                <w:ilvl w:val="0"/>
                <w:numId w:val="8"/>
              </w:numPr>
              <w:autoSpaceDE w:val="0"/>
              <w:autoSpaceDN w:val="0"/>
              <w:adjustRightInd w:val="0"/>
              <w:jc w:val="both"/>
              <w:rPr>
                <w:color w:val="000000"/>
                <w:sz w:val="24"/>
                <w:szCs w:val="24"/>
              </w:rPr>
            </w:pPr>
            <w:r w:rsidRPr="00D4144D">
              <w:rPr>
                <w:color w:val="000000"/>
                <w:sz w:val="24"/>
                <w:szCs w:val="24"/>
              </w:rPr>
              <w:t>Подобряване качеството на живот във всички населени места;</w:t>
            </w:r>
          </w:p>
          <w:p w14:paraId="78782E6B" w14:textId="25986657" w:rsidR="00FD34BA" w:rsidRPr="002953B4" w:rsidRDefault="00FD34BA" w:rsidP="002953B4">
            <w:pPr>
              <w:pStyle w:val="ListParagraph"/>
              <w:numPr>
                <w:ilvl w:val="0"/>
                <w:numId w:val="8"/>
              </w:numPr>
              <w:autoSpaceDE w:val="0"/>
              <w:autoSpaceDN w:val="0"/>
              <w:adjustRightInd w:val="0"/>
              <w:jc w:val="both"/>
              <w:rPr>
                <w:color w:val="000000"/>
                <w:sz w:val="24"/>
                <w:szCs w:val="24"/>
              </w:rPr>
            </w:pPr>
            <w:r w:rsidRPr="002953B4">
              <w:rPr>
                <w:color w:val="000000"/>
                <w:sz w:val="24"/>
                <w:szCs w:val="24"/>
              </w:rPr>
              <w:t>Насърчаване на социалното приобщаване и икономическото развитие на територията на МИГ Поморие.</w:t>
            </w:r>
          </w:p>
          <w:p w14:paraId="181E93B7" w14:textId="77777777" w:rsidR="00FC2D4D" w:rsidRDefault="00FC2D4D" w:rsidP="00DB14EC">
            <w:pPr>
              <w:pStyle w:val="ListParagraph"/>
              <w:spacing w:before="120" w:line="276" w:lineRule="auto"/>
              <w:ind w:left="0"/>
              <w:jc w:val="both"/>
              <w:rPr>
                <w:b/>
                <w:sz w:val="24"/>
                <w:szCs w:val="24"/>
              </w:rPr>
            </w:pPr>
          </w:p>
          <w:p w14:paraId="3599C1C6" w14:textId="77777777" w:rsidR="00DB14EC" w:rsidRDefault="001724A4" w:rsidP="00DB14EC">
            <w:pPr>
              <w:pStyle w:val="ListParagraph"/>
              <w:spacing w:before="120" w:line="276" w:lineRule="auto"/>
              <w:ind w:left="0"/>
              <w:jc w:val="both"/>
              <w:rPr>
                <w:b/>
                <w:sz w:val="24"/>
                <w:szCs w:val="24"/>
              </w:rPr>
            </w:pPr>
            <w:r w:rsidRPr="007713C1">
              <w:rPr>
                <w:b/>
                <w:sz w:val="24"/>
                <w:szCs w:val="24"/>
              </w:rPr>
              <w:t>Обосновка:</w:t>
            </w:r>
          </w:p>
          <w:p w14:paraId="66AB88FE" w14:textId="77777777" w:rsidR="005D6067" w:rsidRPr="001C7A55" w:rsidRDefault="005D6067" w:rsidP="00DB14EC">
            <w:pPr>
              <w:pStyle w:val="ListParagraph"/>
              <w:spacing w:before="120" w:line="276" w:lineRule="auto"/>
              <w:ind w:left="0"/>
              <w:jc w:val="both"/>
              <w:rPr>
                <w:sz w:val="24"/>
                <w:szCs w:val="24"/>
              </w:rPr>
            </w:pPr>
            <w:r w:rsidRPr="001C7A55">
              <w:rPr>
                <w:sz w:val="24"/>
                <w:szCs w:val="24"/>
              </w:rPr>
              <w:t xml:space="preserve">За заинтересованите страни в територията на МИГ Поморие е изключително важно да се подобри общия вид на инфраструктурата на населените места и услугите, които могат да се предоставят извън общинския център. </w:t>
            </w:r>
          </w:p>
          <w:p w14:paraId="5DB35DBA" w14:textId="77777777" w:rsidR="005D6067" w:rsidRPr="001C7A55" w:rsidRDefault="005D6067" w:rsidP="005D6067">
            <w:pPr>
              <w:pStyle w:val="ListParagraph"/>
              <w:ind w:left="0"/>
              <w:jc w:val="both"/>
              <w:rPr>
                <w:sz w:val="24"/>
                <w:szCs w:val="24"/>
              </w:rPr>
            </w:pPr>
          </w:p>
          <w:p w14:paraId="451F8029" w14:textId="77777777" w:rsidR="005D6067" w:rsidRDefault="005D6067" w:rsidP="00B31B62">
            <w:pPr>
              <w:pStyle w:val="ListParagraph"/>
              <w:spacing w:before="120"/>
              <w:ind w:left="0"/>
              <w:jc w:val="both"/>
              <w:rPr>
                <w:sz w:val="24"/>
                <w:szCs w:val="24"/>
              </w:rPr>
            </w:pPr>
            <w:r w:rsidRPr="001C7A55">
              <w:rPr>
                <w:sz w:val="24"/>
                <w:szCs w:val="24"/>
              </w:rPr>
              <w:t xml:space="preserve">В населените места на територията на МИГ Поморие се наблюдават редица проблемни точки от </w:t>
            </w:r>
            <w:r w:rsidRPr="001C7A55">
              <w:rPr>
                <w:bCs/>
                <w:sz w:val="24"/>
                <w:szCs w:val="24"/>
              </w:rPr>
              <w:t>градоустройствено и архитектурно</w:t>
            </w:r>
            <w:r w:rsidRPr="001C7A55">
              <w:rPr>
                <w:b/>
                <w:bCs/>
                <w:sz w:val="24"/>
                <w:szCs w:val="24"/>
              </w:rPr>
              <w:t xml:space="preserve"> </w:t>
            </w:r>
            <w:r w:rsidRPr="001C7A55">
              <w:rPr>
                <w:sz w:val="24"/>
                <w:szCs w:val="24"/>
              </w:rPr>
              <w:t xml:space="preserve">естество. Състоянието на голяма част от </w:t>
            </w:r>
            <w:r w:rsidRPr="001C7A55">
              <w:rPr>
                <w:sz w:val="24"/>
                <w:szCs w:val="24"/>
              </w:rPr>
              <w:lastRenderedPageBreak/>
              <w:t xml:space="preserve">обществените сгради не е задоволително. Очевидна е необходимостта от защита, опазване и разширяване на обществените озеленени площи. Градската физическа среда и сградния фонд в големи части от територията на град Поморие са амортизирани и имат нужда от реконструкция. </w:t>
            </w:r>
            <w:r w:rsidRPr="001C7A55">
              <w:rPr>
                <w:color w:val="000000"/>
                <w:sz w:val="24"/>
                <w:szCs w:val="24"/>
              </w:rPr>
              <w:t xml:space="preserve">Състоянието на общинската и третокласна пътна мрежа е незадоволително, водопроводните мрежи са технически амортизирани, канализационната мрежа е недоизградена. </w:t>
            </w:r>
            <w:r w:rsidRPr="001C7A55">
              <w:rPr>
                <w:sz w:val="24"/>
                <w:szCs w:val="24"/>
              </w:rPr>
              <w:t>Голям минус е недостатъчната финансова обезпеченост за развитието на културата и съхранение, поддръжка и ремонт, реставрация и консервация на недвижимите и движимите културни ценности.</w:t>
            </w:r>
          </w:p>
          <w:p w14:paraId="3B738F64" w14:textId="490C3B45" w:rsidR="001C7383" w:rsidRPr="001C7A55" w:rsidRDefault="002953B4" w:rsidP="002953B4">
            <w:pPr>
              <w:pStyle w:val="ListParagraph"/>
              <w:tabs>
                <w:tab w:val="left" w:pos="7035"/>
              </w:tabs>
              <w:spacing w:before="120"/>
              <w:ind w:left="0"/>
              <w:jc w:val="both"/>
              <w:rPr>
                <w:sz w:val="24"/>
                <w:szCs w:val="24"/>
              </w:rPr>
            </w:pPr>
            <w:r>
              <w:rPr>
                <w:sz w:val="24"/>
                <w:szCs w:val="24"/>
              </w:rPr>
              <w:tab/>
            </w:r>
          </w:p>
          <w:p w14:paraId="64848BB2" w14:textId="571BF1E2" w:rsidR="005D6067" w:rsidRPr="001C7A55" w:rsidRDefault="005D6067" w:rsidP="005D6067">
            <w:pPr>
              <w:pStyle w:val="ListParagraph"/>
              <w:ind w:left="0"/>
              <w:jc w:val="both"/>
              <w:rPr>
                <w:i/>
                <w:sz w:val="24"/>
                <w:szCs w:val="24"/>
              </w:rPr>
            </w:pPr>
            <w:r w:rsidRPr="001C7A55">
              <w:rPr>
                <w:sz w:val="24"/>
                <w:szCs w:val="24"/>
              </w:rPr>
              <w:t xml:space="preserve">Поради публичният характер на настоящата мярка, реализацията на всеки един проект, финансиран чрез нея, ще генерира ползи за голяма част от местното население. Изпълнението на </w:t>
            </w:r>
            <w:r w:rsidR="009A144A" w:rsidRPr="009A144A">
              <w:rPr>
                <w:sz w:val="24"/>
                <w:szCs w:val="24"/>
              </w:rPr>
              <w:t>М4_“Инвестиции в създаването, подобряването или разширяването на всички видове малка по мащаби инфраструктура”</w:t>
            </w:r>
            <w:r w:rsidRPr="001C7A55">
              <w:rPr>
                <w:sz w:val="24"/>
                <w:szCs w:val="24"/>
              </w:rPr>
              <w:t xml:space="preserve"> ще допринесе за реализирането на целите на </w:t>
            </w:r>
            <w:r w:rsidRPr="001C7A55">
              <w:rPr>
                <w:sz w:val="24"/>
                <w:szCs w:val="24"/>
                <w:u w:val="single"/>
              </w:rPr>
              <w:t>Приоритет 2</w:t>
            </w:r>
            <w:r w:rsidRPr="001C7A55">
              <w:rPr>
                <w:sz w:val="24"/>
                <w:szCs w:val="24"/>
              </w:rPr>
              <w:t xml:space="preserve"> на СВОМР: “</w:t>
            </w:r>
            <w:r w:rsidRPr="001C7A55">
              <w:rPr>
                <w:i/>
                <w:sz w:val="24"/>
                <w:szCs w:val="24"/>
              </w:rPr>
              <w:t>Стимулиране на местното развитие и опазване на околната среда”</w:t>
            </w:r>
            <w:r w:rsidRPr="001C7A55">
              <w:rPr>
                <w:sz w:val="24"/>
                <w:szCs w:val="24"/>
              </w:rPr>
              <w:t xml:space="preserve"> и по-специално </w:t>
            </w:r>
            <w:r w:rsidRPr="001C7A55">
              <w:rPr>
                <w:sz w:val="24"/>
                <w:szCs w:val="24"/>
                <w:u w:val="single"/>
              </w:rPr>
              <w:t>Специфична цел 2.1:</w:t>
            </w:r>
            <w:r w:rsidRPr="001C7A55">
              <w:rPr>
                <w:sz w:val="24"/>
                <w:szCs w:val="24"/>
              </w:rPr>
              <w:t xml:space="preserve"> “</w:t>
            </w:r>
            <w:r w:rsidRPr="001C7A55">
              <w:rPr>
                <w:i/>
                <w:sz w:val="24"/>
                <w:szCs w:val="24"/>
              </w:rPr>
              <w:t>Повишаване конкурентоспособността на територията и качеството на живот чрез подобряване на жизнената среда и насърчаване на нови бизнес начинания”.</w:t>
            </w:r>
          </w:p>
          <w:p w14:paraId="4BF00D98" w14:textId="77777777" w:rsidR="003D4610" w:rsidRPr="00AE32E0" w:rsidRDefault="003D4610" w:rsidP="00BA0A9F">
            <w:pPr>
              <w:pStyle w:val="ListParagraph"/>
              <w:spacing w:before="120" w:after="120"/>
              <w:ind w:left="0"/>
              <w:jc w:val="both"/>
              <w:rPr>
                <w:sz w:val="24"/>
                <w:szCs w:val="24"/>
              </w:rPr>
            </w:pPr>
          </w:p>
          <w:p w14:paraId="53466991" w14:textId="77777777" w:rsidR="00BA0A9F" w:rsidRPr="00AE32E0" w:rsidRDefault="00AE32E0" w:rsidP="00BA0A9F">
            <w:pPr>
              <w:pStyle w:val="ListParagraph"/>
              <w:spacing w:before="120" w:after="120"/>
              <w:ind w:left="0"/>
              <w:jc w:val="both"/>
              <w:rPr>
                <w:b/>
                <w:sz w:val="24"/>
                <w:szCs w:val="24"/>
              </w:rPr>
            </w:pPr>
            <w:r>
              <w:rPr>
                <w:b/>
                <w:sz w:val="24"/>
                <w:szCs w:val="24"/>
              </w:rPr>
              <w:t>Очаквани резултати:</w:t>
            </w:r>
          </w:p>
          <w:p w14:paraId="41A962C2" w14:textId="161D9E7D" w:rsidR="00BE659F" w:rsidRPr="00BE659F" w:rsidRDefault="00BE659F" w:rsidP="00BE659F">
            <w:pPr>
              <w:spacing w:before="120" w:after="120"/>
              <w:jc w:val="both"/>
              <w:rPr>
                <w:sz w:val="24"/>
                <w:szCs w:val="24"/>
              </w:rPr>
            </w:pPr>
            <w:r w:rsidRPr="00BE659F">
              <w:rPr>
                <w:sz w:val="24"/>
                <w:szCs w:val="24"/>
              </w:rPr>
              <w:t xml:space="preserve">- </w:t>
            </w:r>
            <w:r w:rsidR="00AC5E49">
              <w:rPr>
                <w:sz w:val="24"/>
                <w:szCs w:val="24"/>
              </w:rPr>
              <w:t>финансиране на изпълнението на 7</w:t>
            </w:r>
            <w:r w:rsidRPr="00BE659F">
              <w:rPr>
                <w:sz w:val="24"/>
                <w:szCs w:val="24"/>
              </w:rPr>
              <w:t xml:space="preserve"> проекта по настоящата мярка за създаване, подобряване и/или разширяване на обществената инфраструктура и повишаване на привлекателността на населените места на територията на МИГ- Поморие;</w:t>
            </w:r>
          </w:p>
          <w:p w14:paraId="4F4CC85A" w14:textId="100EC3D4" w:rsidR="00E0672E" w:rsidRPr="00E0672E" w:rsidRDefault="00AC5E49" w:rsidP="00BE659F">
            <w:pPr>
              <w:spacing w:before="120" w:after="120"/>
              <w:jc w:val="both"/>
              <w:rPr>
                <w:sz w:val="24"/>
                <w:szCs w:val="24"/>
              </w:rPr>
            </w:pPr>
            <w:r>
              <w:rPr>
                <w:sz w:val="24"/>
                <w:szCs w:val="24"/>
              </w:rPr>
              <w:t>- 45</w:t>
            </w:r>
            <w:r w:rsidR="00BE659F" w:rsidRPr="00BE659F">
              <w:rPr>
                <w:sz w:val="24"/>
                <w:szCs w:val="24"/>
              </w:rPr>
              <w:t>% от населението на МИГ се ползва от подобрената среда.</w:t>
            </w:r>
          </w:p>
        </w:tc>
      </w:tr>
    </w:tbl>
    <w:p w14:paraId="05FA8FDF" w14:textId="77777777" w:rsidR="00821B06" w:rsidRPr="007713C1" w:rsidRDefault="00821B06" w:rsidP="007570DC">
      <w:pPr>
        <w:pStyle w:val="Heading1"/>
      </w:pPr>
      <w:bookmarkStart w:id="13" w:name="_Toc445385568"/>
      <w:bookmarkStart w:id="14" w:name="_Toc534292203"/>
      <w:r w:rsidRPr="007713C1">
        <w:lastRenderedPageBreak/>
        <w:t>7. Индикатори:</w:t>
      </w:r>
      <w:bookmarkEnd w:id="13"/>
      <w:bookmarkEnd w:id="14"/>
    </w:p>
    <w:tbl>
      <w:tblPr>
        <w:tblStyle w:val="TableGrid"/>
        <w:tblW w:w="0" w:type="auto"/>
        <w:tblLook w:val="04A0" w:firstRow="1" w:lastRow="0" w:firstColumn="1" w:lastColumn="0" w:noHBand="0" w:noVBand="1"/>
      </w:tblPr>
      <w:tblGrid>
        <w:gridCol w:w="9346"/>
      </w:tblGrid>
      <w:tr w:rsidR="0037199F" w:rsidRPr="007713C1" w14:paraId="614CA6BC" w14:textId="77777777" w:rsidTr="0037199F">
        <w:tc>
          <w:tcPr>
            <w:tcW w:w="9496" w:type="dxa"/>
          </w:tcPr>
          <w:tbl>
            <w:tblPr>
              <w:tblStyle w:val="TableGrid"/>
              <w:tblpPr w:leftFromText="141" w:rightFromText="141" w:horzAnchor="margin" w:tblpY="510"/>
              <w:tblOverlap w:val="never"/>
              <w:tblW w:w="0" w:type="auto"/>
              <w:tblLook w:val="04A0" w:firstRow="1" w:lastRow="0" w:firstColumn="1" w:lastColumn="0" w:noHBand="0" w:noVBand="1"/>
            </w:tblPr>
            <w:tblGrid>
              <w:gridCol w:w="1823"/>
              <w:gridCol w:w="1164"/>
              <w:gridCol w:w="1215"/>
              <w:gridCol w:w="2538"/>
              <w:gridCol w:w="1164"/>
              <w:gridCol w:w="1216"/>
            </w:tblGrid>
            <w:tr w:rsidR="00C871C6" w:rsidRPr="0037093B" w14:paraId="3A7063C2" w14:textId="77777777" w:rsidTr="00D137FE">
              <w:trPr>
                <w:trHeight w:val="809"/>
              </w:trPr>
              <w:tc>
                <w:tcPr>
                  <w:tcW w:w="4202" w:type="dxa"/>
                  <w:gridSpan w:val="3"/>
                  <w:shd w:val="clear" w:color="auto" w:fill="CCECFF"/>
                  <w:vAlign w:val="center"/>
                </w:tcPr>
                <w:p w14:paraId="786E0353" w14:textId="77777777" w:rsidR="00C871C6" w:rsidRPr="0037093B" w:rsidRDefault="00C871C6" w:rsidP="00C871C6">
                  <w:pPr>
                    <w:pStyle w:val="ListParagraph"/>
                    <w:spacing w:before="120" w:after="120"/>
                    <w:ind w:left="0"/>
                    <w:contextualSpacing w:val="0"/>
                    <w:jc w:val="center"/>
                    <w:rPr>
                      <w:b/>
                      <w:sz w:val="24"/>
                      <w:szCs w:val="24"/>
                    </w:rPr>
                  </w:pPr>
                  <w:r w:rsidRPr="0037093B">
                    <w:rPr>
                      <w:b/>
                      <w:sz w:val="24"/>
                      <w:szCs w:val="24"/>
                    </w:rPr>
                    <w:t>ИНДИКАТОРИ ЗА ИЗПЪЛНЕНИЕ</w:t>
                  </w:r>
                </w:p>
              </w:tc>
              <w:tc>
                <w:tcPr>
                  <w:tcW w:w="4918" w:type="dxa"/>
                  <w:gridSpan w:val="3"/>
                  <w:shd w:val="clear" w:color="auto" w:fill="CCECFF"/>
                  <w:vAlign w:val="center"/>
                </w:tcPr>
                <w:p w14:paraId="2F827287" w14:textId="77777777" w:rsidR="00C871C6" w:rsidRPr="0037093B" w:rsidRDefault="00C871C6" w:rsidP="00C871C6">
                  <w:pPr>
                    <w:pStyle w:val="ListParagraph"/>
                    <w:spacing w:before="120" w:after="120"/>
                    <w:ind w:left="0"/>
                    <w:contextualSpacing w:val="0"/>
                    <w:jc w:val="center"/>
                    <w:rPr>
                      <w:b/>
                      <w:sz w:val="24"/>
                      <w:szCs w:val="24"/>
                    </w:rPr>
                  </w:pPr>
                  <w:r w:rsidRPr="0037093B">
                    <w:rPr>
                      <w:b/>
                      <w:sz w:val="24"/>
                      <w:szCs w:val="24"/>
                    </w:rPr>
                    <w:t>ИНДИКАТОРИ ЗА РЕЗУЛТАТ</w:t>
                  </w:r>
                </w:p>
              </w:tc>
            </w:tr>
            <w:tr w:rsidR="00F97F0A" w:rsidRPr="0037093B" w14:paraId="61C06E2F" w14:textId="77777777" w:rsidTr="00D137FE">
              <w:trPr>
                <w:trHeight w:val="552"/>
              </w:trPr>
              <w:tc>
                <w:tcPr>
                  <w:tcW w:w="1823" w:type="dxa"/>
                  <w:vAlign w:val="center"/>
                </w:tcPr>
                <w:p w14:paraId="04AFE498" w14:textId="77777777" w:rsidR="00C871C6" w:rsidRPr="0037093B" w:rsidRDefault="00C871C6" w:rsidP="003C3D76">
                  <w:pPr>
                    <w:pStyle w:val="ListParagraph"/>
                    <w:spacing w:before="120" w:after="120"/>
                    <w:ind w:left="0"/>
                    <w:contextualSpacing w:val="0"/>
                    <w:jc w:val="center"/>
                    <w:rPr>
                      <w:b/>
                      <w:sz w:val="24"/>
                      <w:szCs w:val="24"/>
                    </w:rPr>
                  </w:pPr>
                  <w:r w:rsidRPr="0037093B">
                    <w:rPr>
                      <w:b/>
                      <w:sz w:val="24"/>
                      <w:szCs w:val="24"/>
                    </w:rPr>
                    <w:t>Индикатор</w:t>
                  </w:r>
                </w:p>
              </w:tc>
              <w:tc>
                <w:tcPr>
                  <w:tcW w:w="1164" w:type="dxa"/>
                  <w:vAlign w:val="center"/>
                </w:tcPr>
                <w:p w14:paraId="6AE149E6" w14:textId="77777777" w:rsidR="00C871C6" w:rsidRPr="0037093B" w:rsidRDefault="00C871C6" w:rsidP="003C3D76">
                  <w:pPr>
                    <w:pStyle w:val="ListParagraph"/>
                    <w:spacing w:before="120" w:after="120"/>
                    <w:ind w:left="0"/>
                    <w:contextualSpacing w:val="0"/>
                    <w:jc w:val="center"/>
                    <w:rPr>
                      <w:b/>
                      <w:sz w:val="24"/>
                      <w:szCs w:val="24"/>
                    </w:rPr>
                  </w:pPr>
                  <w:r w:rsidRPr="0037093B">
                    <w:rPr>
                      <w:b/>
                      <w:sz w:val="24"/>
                      <w:szCs w:val="24"/>
                    </w:rPr>
                    <w:t>Мерна единица</w:t>
                  </w:r>
                </w:p>
              </w:tc>
              <w:tc>
                <w:tcPr>
                  <w:tcW w:w="1215" w:type="dxa"/>
                  <w:vAlign w:val="center"/>
                </w:tcPr>
                <w:p w14:paraId="5FDCDC9C" w14:textId="77777777" w:rsidR="00C871C6" w:rsidRPr="0037093B" w:rsidRDefault="00C871C6" w:rsidP="003C3D76">
                  <w:pPr>
                    <w:pStyle w:val="ListParagraph"/>
                    <w:spacing w:before="120" w:after="120"/>
                    <w:ind w:left="0"/>
                    <w:contextualSpacing w:val="0"/>
                    <w:jc w:val="center"/>
                    <w:rPr>
                      <w:b/>
                      <w:sz w:val="24"/>
                      <w:szCs w:val="24"/>
                    </w:rPr>
                  </w:pPr>
                  <w:r w:rsidRPr="0037093B">
                    <w:rPr>
                      <w:b/>
                      <w:sz w:val="24"/>
                      <w:szCs w:val="24"/>
                    </w:rPr>
                    <w:t>Целева стойност</w:t>
                  </w:r>
                </w:p>
              </w:tc>
              <w:tc>
                <w:tcPr>
                  <w:tcW w:w="2538" w:type="dxa"/>
                  <w:vAlign w:val="center"/>
                </w:tcPr>
                <w:p w14:paraId="370847C8" w14:textId="77777777" w:rsidR="00C871C6" w:rsidRPr="0037093B" w:rsidRDefault="00C871C6" w:rsidP="003C3D76">
                  <w:pPr>
                    <w:pStyle w:val="ListParagraph"/>
                    <w:spacing w:before="120" w:after="120"/>
                    <w:ind w:left="0"/>
                    <w:contextualSpacing w:val="0"/>
                    <w:jc w:val="center"/>
                    <w:rPr>
                      <w:b/>
                      <w:sz w:val="24"/>
                      <w:szCs w:val="24"/>
                    </w:rPr>
                  </w:pPr>
                  <w:r w:rsidRPr="0037093B">
                    <w:rPr>
                      <w:b/>
                      <w:sz w:val="24"/>
                      <w:szCs w:val="24"/>
                    </w:rPr>
                    <w:t>Индикатор</w:t>
                  </w:r>
                </w:p>
              </w:tc>
              <w:tc>
                <w:tcPr>
                  <w:tcW w:w="1164" w:type="dxa"/>
                  <w:vAlign w:val="center"/>
                </w:tcPr>
                <w:p w14:paraId="53B687D7" w14:textId="77777777" w:rsidR="00C871C6" w:rsidRPr="0037093B" w:rsidRDefault="00C871C6" w:rsidP="003C3D76">
                  <w:pPr>
                    <w:pStyle w:val="ListParagraph"/>
                    <w:spacing w:before="120" w:after="120"/>
                    <w:ind w:left="0"/>
                    <w:contextualSpacing w:val="0"/>
                    <w:jc w:val="center"/>
                    <w:rPr>
                      <w:b/>
                      <w:sz w:val="24"/>
                      <w:szCs w:val="24"/>
                    </w:rPr>
                  </w:pPr>
                  <w:r w:rsidRPr="0037093B">
                    <w:rPr>
                      <w:b/>
                      <w:sz w:val="24"/>
                      <w:szCs w:val="24"/>
                    </w:rPr>
                    <w:t>Мерна единица</w:t>
                  </w:r>
                </w:p>
              </w:tc>
              <w:tc>
                <w:tcPr>
                  <w:tcW w:w="1216" w:type="dxa"/>
                  <w:vAlign w:val="center"/>
                </w:tcPr>
                <w:p w14:paraId="1C862830" w14:textId="77777777" w:rsidR="00C871C6" w:rsidRPr="0037093B" w:rsidRDefault="00C871C6" w:rsidP="003C3D76">
                  <w:pPr>
                    <w:pStyle w:val="ListParagraph"/>
                    <w:spacing w:before="120" w:after="120"/>
                    <w:ind w:left="0"/>
                    <w:contextualSpacing w:val="0"/>
                    <w:jc w:val="center"/>
                    <w:rPr>
                      <w:b/>
                      <w:sz w:val="24"/>
                      <w:szCs w:val="24"/>
                    </w:rPr>
                  </w:pPr>
                  <w:r w:rsidRPr="0037093B">
                    <w:rPr>
                      <w:b/>
                      <w:sz w:val="24"/>
                      <w:szCs w:val="24"/>
                    </w:rPr>
                    <w:t>Целева стойност</w:t>
                  </w:r>
                </w:p>
              </w:tc>
            </w:tr>
            <w:tr w:rsidR="00F97F0A" w:rsidRPr="0037093B" w14:paraId="5F71DACC" w14:textId="77777777" w:rsidTr="00D137FE">
              <w:trPr>
                <w:trHeight w:val="905"/>
              </w:trPr>
              <w:tc>
                <w:tcPr>
                  <w:tcW w:w="1823" w:type="dxa"/>
                  <w:vAlign w:val="center"/>
                </w:tcPr>
                <w:p w14:paraId="2E4FFC7C" w14:textId="77777777" w:rsidR="00C871C6" w:rsidRPr="0037093B" w:rsidRDefault="00000394" w:rsidP="00267B72">
                  <w:pPr>
                    <w:pStyle w:val="ListParagraph"/>
                    <w:spacing w:after="360"/>
                    <w:ind w:left="0"/>
                    <w:jc w:val="center"/>
                    <w:rPr>
                      <w:b/>
                      <w:sz w:val="24"/>
                      <w:szCs w:val="24"/>
                    </w:rPr>
                  </w:pPr>
                  <w:r w:rsidRPr="0037093B">
                    <w:rPr>
                      <w:b/>
                      <w:sz w:val="24"/>
                      <w:szCs w:val="24"/>
                    </w:rPr>
                    <w:t>Финансирани проекти</w:t>
                  </w:r>
                </w:p>
              </w:tc>
              <w:tc>
                <w:tcPr>
                  <w:tcW w:w="1164" w:type="dxa"/>
                  <w:vAlign w:val="center"/>
                </w:tcPr>
                <w:p w14:paraId="4D95DABE" w14:textId="77777777" w:rsidR="00C871C6" w:rsidRPr="0037093B" w:rsidRDefault="003C3D76" w:rsidP="003C3D76">
                  <w:pPr>
                    <w:pStyle w:val="ListParagraph"/>
                    <w:spacing w:after="360"/>
                    <w:ind w:left="0"/>
                    <w:jc w:val="center"/>
                    <w:rPr>
                      <w:b/>
                      <w:sz w:val="24"/>
                      <w:szCs w:val="24"/>
                    </w:rPr>
                  </w:pPr>
                  <w:r w:rsidRPr="0037093B">
                    <w:rPr>
                      <w:b/>
                      <w:sz w:val="24"/>
                      <w:szCs w:val="24"/>
                    </w:rPr>
                    <w:t>Брой</w:t>
                  </w:r>
                </w:p>
              </w:tc>
              <w:tc>
                <w:tcPr>
                  <w:tcW w:w="1215" w:type="dxa"/>
                  <w:vAlign w:val="center"/>
                </w:tcPr>
                <w:p w14:paraId="08F57F9F" w14:textId="40494AC1" w:rsidR="00C871C6" w:rsidRPr="0037093B" w:rsidRDefault="00846C52" w:rsidP="00000394">
                  <w:pPr>
                    <w:pStyle w:val="ListParagraph"/>
                    <w:spacing w:after="360"/>
                    <w:ind w:left="0"/>
                    <w:jc w:val="center"/>
                    <w:rPr>
                      <w:b/>
                      <w:sz w:val="24"/>
                      <w:szCs w:val="24"/>
                    </w:rPr>
                  </w:pPr>
                  <w:r>
                    <w:rPr>
                      <w:b/>
                      <w:sz w:val="24"/>
                      <w:szCs w:val="24"/>
                    </w:rPr>
                    <w:t>7</w:t>
                  </w:r>
                </w:p>
              </w:tc>
              <w:tc>
                <w:tcPr>
                  <w:tcW w:w="2538" w:type="dxa"/>
                  <w:vAlign w:val="center"/>
                </w:tcPr>
                <w:p w14:paraId="4D2DAD02" w14:textId="77777777" w:rsidR="00C871C6" w:rsidRPr="0037093B" w:rsidRDefault="00C5434D" w:rsidP="00A73609">
                  <w:pPr>
                    <w:pStyle w:val="ListParagraph"/>
                    <w:spacing w:after="360"/>
                    <w:ind w:left="0"/>
                    <w:jc w:val="center"/>
                    <w:rPr>
                      <w:b/>
                      <w:sz w:val="24"/>
                      <w:szCs w:val="24"/>
                    </w:rPr>
                  </w:pPr>
                  <w:r w:rsidRPr="0037093B">
                    <w:rPr>
                      <w:b/>
                      <w:sz w:val="24"/>
                      <w:szCs w:val="24"/>
                    </w:rPr>
                    <w:t>Население, което се ползва от подобрената среда</w:t>
                  </w:r>
                </w:p>
              </w:tc>
              <w:tc>
                <w:tcPr>
                  <w:tcW w:w="1164" w:type="dxa"/>
                  <w:vAlign w:val="center"/>
                </w:tcPr>
                <w:p w14:paraId="6C53130B" w14:textId="77777777" w:rsidR="00C871C6" w:rsidRPr="0037093B" w:rsidRDefault="00C5434D" w:rsidP="00076BB2">
                  <w:pPr>
                    <w:pStyle w:val="ListParagraph"/>
                    <w:spacing w:after="360"/>
                    <w:ind w:left="0"/>
                    <w:jc w:val="center"/>
                    <w:rPr>
                      <w:b/>
                      <w:sz w:val="24"/>
                      <w:szCs w:val="24"/>
                    </w:rPr>
                  </w:pPr>
                  <w:r w:rsidRPr="0037093B">
                    <w:rPr>
                      <w:b/>
                      <w:sz w:val="24"/>
                      <w:szCs w:val="24"/>
                    </w:rPr>
                    <w:t>%</w:t>
                  </w:r>
                </w:p>
              </w:tc>
              <w:tc>
                <w:tcPr>
                  <w:tcW w:w="1216" w:type="dxa"/>
                  <w:vAlign w:val="center"/>
                </w:tcPr>
                <w:p w14:paraId="4A0E8DB9" w14:textId="77777777" w:rsidR="00076BB2" w:rsidRPr="0037093B" w:rsidRDefault="00076BB2" w:rsidP="00076BB2">
                  <w:pPr>
                    <w:pStyle w:val="ListParagraph"/>
                    <w:spacing w:after="360"/>
                    <w:ind w:left="0"/>
                    <w:jc w:val="center"/>
                    <w:rPr>
                      <w:b/>
                      <w:sz w:val="24"/>
                      <w:szCs w:val="24"/>
                    </w:rPr>
                  </w:pPr>
                </w:p>
                <w:p w14:paraId="2B5FCE72" w14:textId="77777777" w:rsidR="00076BB2" w:rsidRPr="0037093B" w:rsidRDefault="00076BB2" w:rsidP="00076BB2">
                  <w:pPr>
                    <w:pStyle w:val="ListParagraph"/>
                    <w:spacing w:after="360"/>
                    <w:ind w:left="0"/>
                    <w:jc w:val="center"/>
                    <w:rPr>
                      <w:b/>
                      <w:sz w:val="24"/>
                      <w:szCs w:val="24"/>
                    </w:rPr>
                  </w:pPr>
                </w:p>
                <w:p w14:paraId="157FB5E5" w14:textId="3448F9D5" w:rsidR="00076BB2" w:rsidRPr="0037093B" w:rsidRDefault="00846C52" w:rsidP="00076BB2">
                  <w:pPr>
                    <w:pStyle w:val="ListParagraph"/>
                    <w:spacing w:after="360"/>
                    <w:ind w:left="0"/>
                    <w:jc w:val="center"/>
                    <w:rPr>
                      <w:b/>
                      <w:sz w:val="24"/>
                      <w:szCs w:val="24"/>
                    </w:rPr>
                  </w:pPr>
                  <w:r>
                    <w:rPr>
                      <w:b/>
                      <w:sz w:val="24"/>
                      <w:szCs w:val="24"/>
                    </w:rPr>
                    <w:t>45</w:t>
                  </w:r>
                </w:p>
              </w:tc>
            </w:tr>
            <w:tr w:rsidR="00F97F0A" w:rsidRPr="0037093B" w14:paraId="3209A5C0" w14:textId="77777777" w:rsidTr="00D137FE">
              <w:trPr>
                <w:trHeight w:val="785"/>
              </w:trPr>
              <w:tc>
                <w:tcPr>
                  <w:tcW w:w="1823" w:type="dxa"/>
                  <w:vAlign w:val="center"/>
                </w:tcPr>
                <w:p w14:paraId="2DE39E53" w14:textId="77777777" w:rsidR="00C871C6" w:rsidRPr="0037093B" w:rsidRDefault="00C5434D" w:rsidP="00111F7B">
                  <w:pPr>
                    <w:jc w:val="center"/>
                    <w:rPr>
                      <w:b/>
                      <w:sz w:val="24"/>
                      <w:szCs w:val="24"/>
                    </w:rPr>
                  </w:pPr>
                  <w:r w:rsidRPr="0037093B">
                    <w:rPr>
                      <w:b/>
                      <w:sz w:val="24"/>
                      <w:szCs w:val="24"/>
                    </w:rPr>
                    <w:lastRenderedPageBreak/>
                    <w:t>Б</w:t>
                  </w:r>
                  <w:r w:rsidR="00000394" w:rsidRPr="0037093B">
                    <w:rPr>
                      <w:b/>
                      <w:sz w:val="24"/>
                      <w:szCs w:val="24"/>
                    </w:rPr>
                    <w:t>енефициенти</w:t>
                  </w:r>
                </w:p>
              </w:tc>
              <w:tc>
                <w:tcPr>
                  <w:tcW w:w="1164" w:type="dxa"/>
                  <w:vAlign w:val="center"/>
                </w:tcPr>
                <w:p w14:paraId="103DA44E" w14:textId="77777777" w:rsidR="00C871C6" w:rsidRPr="0037093B" w:rsidRDefault="00076BB2" w:rsidP="00111F7B">
                  <w:pPr>
                    <w:jc w:val="center"/>
                    <w:rPr>
                      <w:b/>
                      <w:sz w:val="24"/>
                      <w:szCs w:val="24"/>
                    </w:rPr>
                  </w:pPr>
                  <w:r w:rsidRPr="0037093B">
                    <w:rPr>
                      <w:b/>
                      <w:sz w:val="24"/>
                      <w:szCs w:val="24"/>
                    </w:rPr>
                    <w:t>Брой</w:t>
                  </w:r>
                </w:p>
              </w:tc>
              <w:tc>
                <w:tcPr>
                  <w:tcW w:w="1215" w:type="dxa"/>
                  <w:vAlign w:val="center"/>
                </w:tcPr>
                <w:p w14:paraId="27D5091F" w14:textId="77777777" w:rsidR="00C871C6" w:rsidRPr="0037093B" w:rsidRDefault="00C5434D" w:rsidP="00111F7B">
                  <w:pPr>
                    <w:jc w:val="center"/>
                    <w:rPr>
                      <w:b/>
                      <w:sz w:val="24"/>
                      <w:szCs w:val="24"/>
                    </w:rPr>
                  </w:pPr>
                  <w:r w:rsidRPr="0037093B">
                    <w:rPr>
                      <w:b/>
                      <w:sz w:val="24"/>
                      <w:szCs w:val="24"/>
                    </w:rPr>
                    <w:t>2</w:t>
                  </w:r>
                </w:p>
              </w:tc>
              <w:tc>
                <w:tcPr>
                  <w:tcW w:w="2538" w:type="dxa"/>
                  <w:vAlign w:val="center"/>
                </w:tcPr>
                <w:p w14:paraId="32CBBA5C" w14:textId="77777777" w:rsidR="00C871C6" w:rsidRPr="0037093B" w:rsidRDefault="00C5434D" w:rsidP="00111F7B">
                  <w:pPr>
                    <w:jc w:val="center"/>
                    <w:rPr>
                      <w:b/>
                      <w:sz w:val="24"/>
                      <w:szCs w:val="24"/>
                    </w:rPr>
                  </w:pPr>
                  <w:r w:rsidRPr="0037093B">
                    <w:rPr>
                      <w:b/>
                      <w:sz w:val="24"/>
                      <w:szCs w:val="24"/>
                    </w:rPr>
                    <w:t>Създадена/подобрена обществена инфраструктура</w:t>
                  </w:r>
                </w:p>
              </w:tc>
              <w:tc>
                <w:tcPr>
                  <w:tcW w:w="1164" w:type="dxa"/>
                  <w:vAlign w:val="center"/>
                </w:tcPr>
                <w:p w14:paraId="4CB93BEE" w14:textId="77777777" w:rsidR="00C871C6" w:rsidRPr="0037093B" w:rsidRDefault="00076BB2" w:rsidP="00111F7B">
                  <w:pPr>
                    <w:jc w:val="center"/>
                    <w:rPr>
                      <w:b/>
                      <w:sz w:val="24"/>
                      <w:szCs w:val="24"/>
                    </w:rPr>
                  </w:pPr>
                  <w:r w:rsidRPr="0037093B">
                    <w:rPr>
                      <w:b/>
                      <w:sz w:val="24"/>
                      <w:szCs w:val="24"/>
                    </w:rPr>
                    <w:t>Брой</w:t>
                  </w:r>
                </w:p>
              </w:tc>
              <w:tc>
                <w:tcPr>
                  <w:tcW w:w="1216" w:type="dxa"/>
                  <w:vAlign w:val="center"/>
                </w:tcPr>
                <w:p w14:paraId="793CF180" w14:textId="541343E0" w:rsidR="00C871C6" w:rsidRPr="0037093B" w:rsidRDefault="00846C52" w:rsidP="00111F7B">
                  <w:pPr>
                    <w:jc w:val="center"/>
                    <w:rPr>
                      <w:b/>
                      <w:sz w:val="24"/>
                      <w:szCs w:val="24"/>
                    </w:rPr>
                  </w:pPr>
                  <w:r>
                    <w:rPr>
                      <w:b/>
                      <w:sz w:val="24"/>
                      <w:szCs w:val="24"/>
                    </w:rPr>
                    <w:t>7</w:t>
                  </w:r>
                </w:p>
              </w:tc>
            </w:tr>
            <w:tr w:rsidR="00000394" w:rsidRPr="0037093B" w14:paraId="30E1B503" w14:textId="77777777" w:rsidTr="00D137FE">
              <w:tc>
                <w:tcPr>
                  <w:tcW w:w="1823" w:type="dxa"/>
                  <w:vAlign w:val="center"/>
                </w:tcPr>
                <w:p w14:paraId="3728801B" w14:textId="77777777" w:rsidR="00000394" w:rsidRPr="0037093B" w:rsidRDefault="00000394" w:rsidP="00267B72">
                  <w:pPr>
                    <w:pStyle w:val="ListParagraph"/>
                    <w:spacing w:after="360"/>
                    <w:ind w:left="0"/>
                    <w:jc w:val="center"/>
                    <w:rPr>
                      <w:b/>
                      <w:sz w:val="24"/>
                      <w:szCs w:val="24"/>
                    </w:rPr>
                  </w:pPr>
                  <w:r w:rsidRPr="0037093B">
                    <w:rPr>
                      <w:b/>
                      <w:sz w:val="24"/>
                      <w:szCs w:val="24"/>
                    </w:rPr>
                    <w:t>Общ обем на публичните разходи</w:t>
                  </w:r>
                </w:p>
              </w:tc>
              <w:tc>
                <w:tcPr>
                  <w:tcW w:w="1164" w:type="dxa"/>
                  <w:vAlign w:val="center"/>
                </w:tcPr>
                <w:p w14:paraId="27C75EFB" w14:textId="77777777" w:rsidR="00000394" w:rsidRPr="0037093B" w:rsidRDefault="00000394" w:rsidP="00076BB2">
                  <w:pPr>
                    <w:pStyle w:val="ListParagraph"/>
                    <w:spacing w:after="360"/>
                    <w:ind w:left="0"/>
                    <w:jc w:val="center"/>
                    <w:rPr>
                      <w:b/>
                      <w:sz w:val="24"/>
                      <w:szCs w:val="24"/>
                    </w:rPr>
                  </w:pPr>
                  <w:r w:rsidRPr="0037093B">
                    <w:rPr>
                      <w:b/>
                      <w:sz w:val="24"/>
                      <w:szCs w:val="24"/>
                    </w:rPr>
                    <w:t>Лева</w:t>
                  </w:r>
                </w:p>
              </w:tc>
              <w:tc>
                <w:tcPr>
                  <w:tcW w:w="1215" w:type="dxa"/>
                  <w:vAlign w:val="center"/>
                </w:tcPr>
                <w:p w14:paraId="26938E7D" w14:textId="134A9CE9" w:rsidR="00000394" w:rsidRPr="0037093B" w:rsidRDefault="00846C52" w:rsidP="00076BB2">
                  <w:pPr>
                    <w:pStyle w:val="ListParagraph"/>
                    <w:spacing w:after="360"/>
                    <w:ind w:left="0"/>
                    <w:jc w:val="center"/>
                    <w:rPr>
                      <w:b/>
                      <w:sz w:val="24"/>
                      <w:szCs w:val="24"/>
                    </w:rPr>
                  </w:pPr>
                  <w:r w:rsidRPr="00846C52">
                    <w:rPr>
                      <w:b/>
                      <w:sz w:val="24"/>
                      <w:szCs w:val="24"/>
                    </w:rPr>
                    <w:t>1 772 000</w:t>
                  </w:r>
                </w:p>
              </w:tc>
              <w:tc>
                <w:tcPr>
                  <w:tcW w:w="2538" w:type="dxa"/>
                  <w:vAlign w:val="center"/>
                </w:tcPr>
                <w:p w14:paraId="05CE19F2" w14:textId="77777777" w:rsidR="00000394" w:rsidRPr="0037093B" w:rsidRDefault="00000394" w:rsidP="00267B72">
                  <w:pPr>
                    <w:pStyle w:val="ListParagraph"/>
                    <w:spacing w:after="360"/>
                    <w:ind w:left="0"/>
                    <w:jc w:val="center"/>
                    <w:rPr>
                      <w:b/>
                      <w:sz w:val="24"/>
                      <w:szCs w:val="24"/>
                    </w:rPr>
                  </w:pPr>
                </w:p>
              </w:tc>
              <w:tc>
                <w:tcPr>
                  <w:tcW w:w="1164" w:type="dxa"/>
                  <w:vAlign w:val="center"/>
                </w:tcPr>
                <w:p w14:paraId="4EC605CC" w14:textId="77777777" w:rsidR="00000394" w:rsidRPr="0037093B" w:rsidRDefault="00000394" w:rsidP="00076BB2">
                  <w:pPr>
                    <w:pStyle w:val="ListParagraph"/>
                    <w:spacing w:after="360"/>
                    <w:ind w:left="0"/>
                    <w:jc w:val="center"/>
                    <w:rPr>
                      <w:b/>
                      <w:sz w:val="24"/>
                      <w:szCs w:val="24"/>
                      <w:highlight w:val="yellow"/>
                    </w:rPr>
                  </w:pPr>
                </w:p>
              </w:tc>
              <w:tc>
                <w:tcPr>
                  <w:tcW w:w="1216" w:type="dxa"/>
                  <w:vAlign w:val="bottom"/>
                </w:tcPr>
                <w:p w14:paraId="1DD93562" w14:textId="77777777" w:rsidR="00000394" w:rsidRPr="0037093B" w:rsidRDefault="00000394" w:rsidP="00A73609">
                  <w:pPr>
                    <w:pStyle w:val="ListParagraph"/>
                    <w:spacing w:after="360"/>
                    <w:ind w:left="0"/>
                    <w:jc w:val="center"/>
                    <w:rPr>
                      <w:b/>
                      <w:sz w:val="24"/>
                      <w:szCs w:val="24"/>
                      <w:highlight w:val="yellow"/>
                    </w:rPr>
                  </w:pPr>
                </w:p>
              </w:tc>
            </w:tr>
            <w:tr w:rsidR="00F97F0A" w:rsidRPr="0037093B" w14:paraId="06841814" w14:textId="77777777" w:rsidTr="00D137FE">
              <w:trPr>
                <w:trHeight w:val="571"/>
              </w:trPr>
              <w:tc>
                <w:tcPr>
                  <w:tcW w:w="1823" w:type="dxa"/>
                  <w:vAlign w:val="center"/>
                </w:tcPr>
                <w:p w14:paraId="5DEA07B5" w14:textId="77777777" w:rsidR="00076BB2" w:rsidRPr="0037093B" w:rsidRDefault="00076BB2" w:rsidP="00A73609">
                  <w:pPr>
                    <w:jc w:val="center"/>
                    <w:rPr>
                      <w:b/>
                      <w:sz w:val="24"/>
                      <w:szCs w:val="24"/>
                    </w:rPr>
                  </w:pPr>
                  <w:r w:rsidRPr="0037093B">
                    <w:rPr>
                      <w:b/>
                      <w:sz w:val="24"/>
                      <w:szCs w:val="24"/>
                    </w:rPr>
                    <w:t>Общ обем на инвестициите</w:t>
                  </w:r>
                </w:p>
              </w:tc>
              <w:tc>
                <w:tcPr>
                  <w:tcW w:w="1164" w:type="dxa"/>
                  <w:vAlign w:val="center"/>
                </w:tcPr>
                <w:p w14:paraId="76369FDD" w14:textId="77777777" w:rsidR="00076BB2" w:rsidRPr="0037093B" w:rsidRDefault="00076BB2" w:rsidP="00A73609">
                  <w:pPr>
                    <w:jc w:val="center"/>
                    <w:rPr>
                      <w:sz w:val="24"/>
                      <w:szCs w:val="24"/>
                    </w:rPr>
                  </w:pPr>
                  <w:r w:rsidRPr="0037093B">
                    <w:rPr>
                      <w:b/>
                      <w:sz w:val="24"/>
                      <w:szCs w:val="24"/>
                    </w:rPr>
                    <w:t>Лева</w:t>
                  </w:r>
                </w:p>
              </w:tc>
              <w:tc>
                <w:tcPr>
                  <w:tcW w:w="1215" w:type="dxa"/>
                  <w:vAlign w:val="center"/>
                </w:tcPr>
                <w:p w14:paraId="289FDDD1" w14:textId="4E13B12B" w:rsidR="00076BB2" w:rsidRPr="0037093B" w:rsidRDefault="00846C52" w:rsidP="00A73609">
                  <w:pPr>
                    <w:jc w:val="center"/>
                    <w:rPr>
                      <w:b/>
                      <w:sz w:val="24"/>
                      <w:szCs w:val="24"/>
                    </w:rPr>
                  </w:pPr>
                  <w:r w:rsidRPr="00846C52">
                    <w:rPr>
                      <w:b/>
                      <w:sz w:val="24"/>
                      <w:szCs w:val="24"/>
                    </w:rPr>
                    <w:t>1 772 000</w:t>
                  </w:r>
                </w:p>
              </w:tc>
              <w:tc>
                <w:tcPr>
                  <w:tcW w:w="2538" w:type="dxa"/>
                  <w:vAlign w:val="center"/>
                </w:tcPr>
                <w:p w14:paraId="180D7092" w14:textId="77777777" w:rsidR="00076BB2" w:rsidRPr="0037093B" w:rsidRDefault="00076BB2" w:rsidP="00A73609">
                  <w:pPr>
                    <w:jc w:val="center"/>
                    <w:rPr>
                      <w:b/>
                      <w:sz w:val="24"/>
                      <w:szCs w:val="24"/>
                    </w:rPr>
                  </w:pPr>
                </w:p>
              </w:tc>
              <w:tc>
                <w:tcPr>
                  <w:tcW w:w="1164" w:type="dxa"/>
                  <w:vAlign w:val="center"/>
                </w:tcPr>
                <w:p w14:paraId="56A45C1E" w14:textId="77777777" w:rsidR="00076BB2" w:rsidRPr="0037093B" w:rsidRDefault="00076BB2" w:rsidP="00A73609">
                  <w:pPr>
                    <w:jc w:val="center"/>
                    <w:rPr>
                      <w:sz w:val="24"/>
                      <w:szCs w:val="24"/>
                      <w:highlight w:val="yellow"/>
                    </w:rPr>
                  </w:pPr>
                </w:p>
              </w:tc>
              <w:tc>
                <w:tcPr>
                  <w:tcW w:w="1216" w:type="dxa"/>
                  <w:vAlign w:val="center"/>
                </w:tcPr>
                <w:p w14:paraId="7A6EC4E2" w14:textId="77777777" w:rsidR="00076BB2" w:rsidRPr="0037093B" w:rsidRDefault="00076BB2" w:rsidP="00A73609">
                  <w:pPr>
                    <w:jc w:val="center"/>
                    <w:rPr>
                      <w:b/>
                      <w:sz w:val="24"/>
                      <w:szCs w:val="24"/>
                      <w:highlight w:val="yellow"/>
                    </w:rPr>
                  </w:pPr>
                </w:p>
              </w:tc>
            </w:tr>
          </w:tbl>
          <w:p w14:paraId="26949799" w14:textId="77777777" w:rsidR="002224BE" w:rsidRPr="0037093B" w:rsidRDefault="002224BE" w:rsidP="00AB08C6">
            <w:pPr>
              <w:jc w:val="both"/>
              <w:rPr>
                <w:sz w:val="24"/>
                <w:szCs w:val="24"/>
                <w:highlight w:val="yellow"/>
              </w:rPr>
            </w:pPr>
            <w:bookmarkStart w:id="15" w:name="_Toc481750860"/>
            <w:bookmarkStart w:id="16" w:name="_Toc481751355"/>
            <w:bookmarkStart w:id="17" w:name="_Toc498430172"/>
            <w:bookmarkStart w:id="18" w:name="_Toc445385315"/>
            <w:bookmarkStart w:id="19" w:name="_Toc445385569"/>
          </w:p>
          <w:bookmarkEnd w:id="15"/>
          <w:bookmarkEnd w:id="16"/>
          <w:bookmarkEnd w:id="17"/>
          <w:bookmarkEnd w:id="18"/>
          <w:bookmarkEnd w:id="19"/>
          <w:p w14:paraId="2EF1E7FF" w14:textId="1EB03C79" w:rsidR="00A15FEC" w:rsidRPr="00A15FEC" w:rsidRDefault="00A15FEC" w:rsidP="00A15FEC">
            <w:pPr>
              <w:jc w:val="both"/>
              <w:rPr>
                <w:sz w:val="24"/>
                <w:szCs w:val="24"/>
              </w:rPr>
            </w:pPr>
            <w:r w:rsidRPr="00A15FEC">
              <w:rPr>
                <w:sz w:val="24"/>
                <w:szCs w:val="24"/>
              </w:rPr>
              <w:t>Във формуляра за кандидатстване / Формуляра за мониторинг  кандидатът следва да заложи  и предостави  инфо</w:t>
            </w:r>
            <w:r>
              <w:rPr>
                <w:sz w:val="24"/>
                <w:szCs w:val="24"/>
              </w:rPr>
              <w:t xml:space="preserve">рмация по посочените индикатори, </w:t>
            </w:r>
            <w:r w:rsidRPr="00A15FEC">
              <w:rPr>
                <w:sz w:val="24"/>
                <w:szCs w:val="24"/>
              </w:rPr>
              <w:t>както следва:</w:t>
            </w:r>
          </w:p>
          <w:p w14:paraId="115DEBE5" w14:textId="0894B688" w:rsidR="00A15FEC" w:rsidRPr="007862F4" w:rsidRDefault="00A15FEC" w:rsidP="00A15FEC">
            <w:pPr>
              <w:jc w:val="both"/>
              <w:rPr>
                <w:sz w:val="24"/>
                <w:szCs w:val="24"/>
              </w:rPr>
            </w:pPr>
            <w:r w:rsidRPr="00A15FEC">
              <w:rPr>
                <w:sz w:val="24"/>
                <w:szCs w:val="24"/>
              </w:rPr>
              <w:t>-</w:t>
            </w:r>
            <w:r w:rsidRPr="00A15FEC">
              <w:rPr>
                <w:sz w:val="24"/>
                <w:szCs w:val="24"/>
              </w:rPr>
              <w:tab/>
              <w:t xml:space="preserve">В индикатор „Население, което се ползва от подобрената среда“ кандидатът следва да попълни </w:t>
            </w:r>
            <w:r w:rsidR="005B3B73">
              <w:rPr>
                <w:sz w:val="24"/>
                <w:szCs w:val="24"/>
              </w:rPr>
              <w:t xml:space="preserve">данни за </w:t>
            </w:r>
            <w:r w:rsidR="00EF3D41">
              <w:rPr>
                <w:sz w:val="24"/>
                <w:szCs w:val="24"/>
              </w:rPr>
              <w:t>процент на населението</w:t>
            </w:r>
            <w:r w:rsidR="006D5B53">
              <w:rPr>
                <w:sz w:val="24"/>
                <w:szCs w:val="24"/>
              </w:rPr>
              <w:t>, което</w:t>
            </w:r>
            <w:r w:rsidRPr="00A15FEC">
              <w:rPr>
                <w:sz w:val="24"/>
                <w:szCs w:val="24"/>
              </w:rPr>
              <w:t xml:space="preserve"> </w:t>
            </w:r>
            <w:r w:rsidR="006D5B53">
              <w:rPr>
                <w:sz w:val="24"/>
                <w:szCs w:val="24"/>
              </w:rPr>
              <w:t>ще се ползва</w:t>
            </w:r>
            <w:r w:rsidRPr="00A15FEC">
              <w:rPr>
                <w:sz w:val="24"/>
                <w:szCs w:val="24"/>
              </w:rPr>
              <w:t xml:space="preserve"> от п</w:t>
            </w:r>
            <w:r w:rsidR="007862F4">
              <w:rPr>
                <w:sz w:val="24"/>
                <w:szCs w:val="24"/>
              </w:rPr>
              <w:t>одобрената среда</w:t>
            </w:r>
            <w:r w:rsidRPr="007862F4">
              <w:rPr>
                <w:sz w:val="24"/>
                <w:szCs w:val="24"/>
              </w:rPr>
              <w:t xml:space="preserve"> </w:t>
            </w:r>
            <w:r w:rsidR="006D5B53">
              <w:rPr>
                <w:sz w:val="24"/>
                <w:szCs w:val="24"/>
              </w:rPr>
              <w:t xml:space="preserve">чрез изпълнението на проектното предложение </w:t>
            </w:r>
            <w:r w:rsidRPr="007862F4">
              <w:rPr>
                <w:sz w:val="24"/>
                <w:szCs w:val="24"/>
              </w:rPr>
              <w:t>(</w:t>
            </w:r>
            <w:r w:rsidR="00A251C2" w:rsidRPr="007862F4">
              <w:rPr>
                <w:sz w:val="24"/>
                <w:szCs w:val="24"/>
              </w:rPr>
              <w:t xml:space="preserve">по </w:t>
            </w:r>
            <w:r w:rsidR="006D5B53">
              <w:rPr>
                <w:sz w:val="24"/>
                <w:szCs w:val="24"/>
              </w:rPr>
              <w:t xml:space="preserve">последни </w:t>
            </w:r>
            <w:r w:rsidR="00A251C2" w:rsidRPr="007862F4">
              <w:rPr>
                <w:sz w:val="24"/>
                <w:szCs w:val="24"/>
              </w:rPr>
              <w:t>данни на Националния статистичес</w:t>
            </w:r>
            <w:r w:rsidR="00CE4D5A">
              <w:rPr>
                <w:sz w:val="24"/>
                <w:szCs w:val="24"/>
              </w:rPr>
              <w:t>к</w:t>
            </w:r>
            <w:r w:rsidR="00A251C2" w:rsidRPr="007862F4">
              <w:rPr>
                <w:sz w:val="24"/>
                <w:szCs w:val="24"/>
              </w:rPr>
              <w:t>и инс</w:t>
            </w:r>
            <w:r w:rsidR="00CE4D5A">
              <w:rPr>
                <w:sz w:val="24"/>
                <w:szCs w:val="24"/>
              </w:rPr>
              <w:t>т</w:t>
            </w:r>
            <w:r w:rsidR="00A251C2" w:rsidRPr="007862F4">
              <w:rPr>
                <w:sz w:val="24"/>
                <w:szCs w:val="24"/>
              </w:rPr>
              <w:t>итут</w:t>
            </w:r>
            <w:r w:rsidR="0087183F">
              <w:rPr>
                <w:sz w:val="24"/>
                <w:szCs w:val="24"/>
              </w:rPr>
              <w:t xml:space="preserve"> за броя на </w:t>
            </w:r>
            <w:r w:rsidR="0087183F" w:rsidRPr="0087183F">
              <w:rPr>
                <w:sz w:val="24"/>
                <w:szCs w:val="24"/>
              </w:rPr>
              <w:t>населението в населеното място/места, разположени на територията на община Поморие</w:t>
            </w:r>
            <w:r w:rsidR="00EF3D41">
              <w:rPr>
                <w:sz w:val="24"/>
                <w:szCs w:val="24"/>
              </w:rPr>
              <w:t>);</w:t>
            </w:r>
          </w:p>
          <w:p w14:paraId="4E6A5BB2" w14:textId="4960CD52" w:rsidR="00BB5669" w:rsidRPr="00D137FE" w:rsidRDefault="00A15FEC" w:rsidP="00CE4D5A">
            <w:pPr>
              <w:jc w:val="both"/>
              <w:rPr>
                <w:sz w:val="24"/>
                <w:szCs w:val="24"/>
              </w:rPr>
            </w:pPr>
            <w:r w:rsidRPr="007862F4">
              <w:rPr>
                <w:sz w:val="24"/>
                <w:szCs w:val="24"/>
              </w:rPr>
              <w:t>-</w:t>
            </w:r>
            <w:r w:rsidRPr="007862F4">
              <w:rPr>
                <w:sz w:val="24"/>
                <w:szCs w:val="24"/>
              </w:rPr>
              <w:tab/>
            </w:r>
            <w:r w:rsidR="00A251C2" w:rsidRPr="007862F4">
              <w:rPr>
                <w:sz w:val="24"/>
                <w:szCs w:val="24"/>
              </w:rPr>
              <w:t>В и</w:t>
            </w:r>
            <w:r w:rsidRPr="007862F4">
              <w:rPr>
                <w:sz w:val="24"/>
                <w:szCs w:val="24"/>
              </w:rPr>
              <w:t>ндикатор „Създадена/подобрена обществена инфраструктура“</w:t>
            </w:r>
            <w:r w:rsidR="0078072A">
              <w:rPr>
                <w:sz w:val="24"/>
                <w:szCs w:val="24"/>
              </w:rPr>
              <w:t xml:space="preserve"> кандидатът следва да</w:t>
            </w:r>
            <w:r w:rsidRPr="007862F4">
              <w:rPr>
                <w:sz w:val="24"/>
                <w:szCs w:val="24"/>
              </w:rPr>
              <w:t xml:space="preserve"> </w:t>
            </w:r>
            <w:r w:rsidR="0078072A">
              <w:rPr>
                <w:sz w:val="24"/>
                <w:szCs w:val="24"/>
              </w:rPr>
              <w:t>попълни</w:t>
            </w:r>
            <w:r w:rsidRPr="007862F4">
              <w:rPr>
                <w:sz w:val="24"/>
                <w:szCs w:val="24"/>
              </w:rPr>
              <w:t xml:space="preserve"> </w:t>
            </w:r>
            <w:r w:rsidR="00A251C2" w:rsidRPr="007862F4">
              <w:rPr>
                <w:sz w:val="24"/>
                <w:szCs w:val="24"/>
              </w:rPr>
              <w:t>броя на видовете обществена и</w:t>
            </w:r>
            <w:r w:rsidR="00A251C2">
              <w:rPr>
                <w:sz w:val="24"/>
                <w:szCs w:val="24"/>
              </w:rPr>
              <w:t>нфраструктура, които ще бъдат създадени/подобрени в резултат на изпълнението на проекта.</w:t>
            </w:r>
          </w:p>
        </w:tc>
      </w:tr>
    </w:tbl>
    <w:p w14:paraId="00656C75" w14:textId="77777777" w:rsidR="00AB51E5" w:rsidRDefault="00AB51E5" w:rsidP="007570DC">
      <w:pPr>
        <w:pStyle w:val="Heading1"/>
      </w:pPr>
      <w:bookmarkStart w:id="20" w:name="_Toc445385573"/>
    </w:p>
    <w:p w14:paraId="54A569CA" w14:textId="77777777" w:rsidR="00F26975" w:rsidRDefault="00A8656C" w:rsidP="007570DC">
      <w:pPr>
        <w:pStyle w:val="Heading1"/>
        <w:rPr>
          <w:color w:val="4472C4" w:themeColor="accent5"/>
        </w:rPr>
      </w:pPr>
      <w:bookmarkStart w:id="21" w:name="_Toc534292204"/>
      <w:r w:rsidRPr="007713C1">
        <w:t>8</w:t>
      </w:r>
      <w:r w:rsidRPr="001C7A55">
        <w:rPr>
          <w:color w:val="4472C4" w:themeColor="accent5"/>
        </w:rPr>
        <w:t>. Общ размер на безвъзмездната финансова помощ по процедурата:</w:t>
      </w:r>
      <w:bookmarkEnd w:id="20"/>
      <w:bookmarkEnd w:id="21"/>
    </w:p>
    <w:tbl>
      <w:tblPr>
        <w:tblStyle w:val="TableGrid1"/>
        <w:tblW w:w="9464" w:type="dxa"/>
        <w:tblInd w:w="-113" w:type="dxa"/>
        <w:tblLook w:val="04A0" w:firstRow="1" w:lastRow="0" w:firstColumn="1" w:lastColumn="0" w:noHBand="0" w:noVBand="1"/>
      </w:tblPr>
      <w:tblGrid>
        <w:gridCol w:w="9464"/>
      </w:tblGrid>
      <w:tr w:rsidR="001C7383" w14:paraId="2E928E97" w14:textId="77777777" w:rsidTr="002953B4">
        <w:tc>
          <w:tcPr>
            <w:tcW w:w="9464" w:type="dxa"/>
            <w:shd w:val="clear" w:color="auto" w:fill="auto"/>
          </w:tcPr>
          <w:p w14:paraId="0C543991" w14:textId="77777777" w:rsidR="001C7383" w:rsidRDefault="001C7383" w:rsidP="00A04337"/>
          <w:p w14:paraId="3F4F0B03" w14:textId="63D64B49" w:rsidR="001C7383" w:rsidRPr="00BE659F" w:rsidRDefault="001C7383" w:rsidP="00BE659F">
            <w:pPr>
              <w:jc w:val="both"/>
              <w:rPr>
                <w:rFonts w:ascii="Times New Roman" w:hAnsi="Times New Roman" w:cs="Times New Roman"/>
                <w:sz w:val="24"/>
                <w:szCs w:val="24"/>
              </w:rPr>
            </w:pPr>
            <w:r w:rsidRPr="00F4347A">
              <w:rPr>
                <w:rFonts w:ascii="Times New Roman" w:hAnsi="Times New Roman" w:cs="Times New Roman"/>
                <w:sz w:val="24"/>
                <w:szCs w:val="24"/>
              </w:rPr>
              <w:t xml:space="preserve">Общият размер на </w:t>
            </w:r>
            <w:r>
              <w:rPr>
                <w:rFonts w:ascii="Times New Roman" w:hAnsi="Times New Roman" w:cs="Times New Roman"/>
                <w:sz w:val="24"/>
                <w:szCs w:val="24"/>
              </w:rPr>
              <w:t>безвъзмездната финансова помощ</w:t>
            </w:r>
            <w:r w:rsidRPr="00F4347A">
              <w:rPr>
                <w:rFonts w:ascii="Times New Roman" w:hAnsi="Times New Roman" w:cs="Times New Roman"/>
                <w:sz w:val="24"/>
                <w:szCs w:val="24"/>
              </w:rPr>
              <w:t xml:space="preserve"> по </w:t>
            </w:r>
            <w:r>
              <w:rPr>
                <w:rFonts w:ascii="Times New Roman" w:hAnsi="Times New Roman" w:cs="Times New Roman"/>
                <w:sz w:val="24"/>
                <w:szCs w:val="24"/>
              </w:rPr>
              <w:t>процедурата чрез подбор  на проектни предложения по мярка 4 „</w:t>
            </w:r>
            <w:r w:rsidRPr="001C7383">
              <w:rPr>
                <w:rFonts w:ascii="Times New Roman" w:hAnsi="Times New Roman" w:cs="Times New Roman"/>
                <w:sz w:val="24"/>
                <w:szCs w:val="24"/>
              </w:rPr>
              <w:t>Инвестиции в създаването, подобряването или разширяването на всички видове малка по мащаби инфраструктура</w:t>
            </w:r>
            <w:r>
              <w:rPr>
                <w:rFonts w:ascii="Times New Roman" w:hAnsi="Times New Roman" w:cs="Times New Roman"/>
                <w:sz w:val="24"/>
                <w:szCs w:val="24"/>
              </w:rPr>
              <w:t>“</w:t>
            </w:r>
            <w:r w:rsidRPr="001C7383">
              <w:rPr>
                <w:rFonts w:ascii="Times New Roman" w:hAnsi="Times New Roman" w:cs="Times New Roman"/>
                <w:sz w:val="24"/>
                <w:szCs w:val="24"/>
              </w:rPr>
              <w:t xml:space="preserve"> </w:t>
            </w:r>
            <w:r>
              <w:rPr>
                <w:rFonts w:ascii="Times New Roman" w:hAnsi="Times New Roman" w:cs="Times New Roman"/>
                <w:sz w:val="24"/>
                <w:szCs w:val="24"/>
              </w:rPr>
              <w:t xml:space="preserve">е в размер на левовата равностойност на </w:t>
            </w:r>
            <w:r w:rsidR="007C3679" w:rsidRPr="007C3679">
              <w:rPr>
                <w:rFonts w:ascii="Times New Roman" w:hAnsi="Times New Roman" w:cs="Times New Roman"/>
                <w:sz w:val="24"/>
                <w:szCs w:val="24"/>
              </w:rPr>
              <w:t>1 772 000</w:t>
            </w:r>
            <w:r w:rsidR="007C3679">
              <w:rPr>
                <w:rFonts w:ascii="Times New Roman" w:hAnsi="Times New Roman" w:cs="Times New Roman"/>
                <w:sz w:val="24"/>
                <w:szCs w:val="24"/>
              </w:rPr>
              <w:t xml:space="preserve"> </w:t>
            </w:r>
            <w:r>
              <w:rPr>
                <w:rFonts w:ascii="Times New Roman" w:hAnsi="Times New Roman" w:cs="Times New Roman"/>
                <w:sz w:val="24"/>
                <w:szCs w:val="24"/>
              </w:rPr>
              <w:t>лв.</w:t>
            </w:r>
          </w:p>
          <w:p w14:paraId="56665332" w14:textId="77777777" w:rsidR="001C7383" w:rsidRPr="00714C9B" w:rsidRDefault="001C7383" w:rsidP="00A04337"/>
        </w:tc>
      </w:tr>
    </w:tbl>
    <w:p w14:paraId="531AD92A" w14:textId="77777777" w:rsidR="00220327" w:rsidRDefault="00220327" w:rsidP="007570DC">
      <w:pPr>
        <w:pStyle w:val="Heading1"/>
      </w:pPr>
      <w:bookmarkStart w:id="22" w:name="_Toc445385574"/>
    </w:p>
    <w:p w14:paraId="3062FBC8" w14:textId="77777777" w:rsidR="00A8656C" w:rsidRPr="007713C1" w:rsidRDefault="00404799" w:rsidP="007570DC">
      <w:pPr>
        <w:pStyle w:val="Heading1"/>
      </w:pPr>
      <w:bookmarkStart w:id="23" w:name="_Toc534292205"/>
      <w:r w:rsidRPr="007713C1">
        <w:t>9. Минимален и максимален размер на безвъзмездната финансова помощ за конкретен проект:</w:t>
      </w:r>
      <w:bookmarkEnd w:id="22"/>
      <w:bookmarkEnd w:id="23"/>
    </w:p>
    <w:p w14:paraId="6061F0A2" w14:textId="77777777" w:rsidR="00BA2E00" w:rsidRPr="007713C1" w:rsidRDefault="00404799" w:rsidP="00404799">
      <w:pPr>
        <w:pStyle w:val="ListParagraph"/>
        <w:pBdr>
          <w:top w:val="single" w:sz="4" w:space="1" w:color="auto"/>
          <w:left w:val="single" w:sz="4" w:space="4" w:color="auto"/>
          <w:bottom w:val="single" w:sz="4" w:space="1" w:color="auto"/>
          <w:right w:val="single" w:sz="4" w:space="4" w:color="auto"/>
        </w:pBdr>
        <w:spacing w:after="360" w:line="240" w:lineRule="auto"/>
        <w:ind w:left="0"/>
        <w:jc w:val="both"/>
        <w:rPr>
          <w:rFonts w:ascii="Times New Roman" w:hAnsi="Times New Roman" w:cs="Times New Roman"/>
          <w:sz w:val="24"/>
          <w:szCs w:val="24"/>
        </w:rPr>
      </w:pPr>
      <w:r w:rsidRPr="007713C1">
        <w:rPr>
          <w:rFonts w:ascii="Times New Roman" w:hAnsi="Times New Roman" w:cs="Times New Roman"/>
          <w:sz w:val="24"/>
          <w:szCs w:val="24"/>
        </w:rPr>
        <w:t xml:space="preserve">Всеки кандидат може да кандидатства за безвъзмездна финансова помощ като изготвеният от него проект, трябва да се вмества в следните минимални и максимални граници:  </w:t>
      </w:r>
    </w:p>
    <w:p w14:paraId="285973E9" w14:textId="77777777" w:rsidR="00404799" w:rsidRPr="007713C1" w:rsidRDefault="00404799" w:rsidP="00404799">
      <w:pPr>
        <w:pStyle w:val="ListParagraph"/>
        <w:pBdr>
          <w:top w:val="single" w:sz="4" w:space="1" w:color="auto"/>
          <w:left w:val="single" w:sz="4" w:space="4" w:color="auto"/>
          <w:bottom w:val="single" w:sz="4" w:space="1" w:color="auto"/>
          <w:right w:val="single" w:sz="4" w:space="4" w:color="auto"/>
        </w:pBdr>
        <w:spacing w:after="360" w:line="240" w:lineRule="auto"/>
        <w:ind w:left="0"/>
        <w:jc w:val="both"/>
        <w:rPr>
          <w:rFonts w:ascii="Times New Roman" w:hAnsi="Times New Roman" w:cs="Times New Roman"/>
          <w:sz w:val="24"/>
          <w:szCs w:val="24"/>
        </w:rPr>
      </w:pPr>
    </w:p>
    <w:p w14:paraId="0AC06B31" w14:textId="77777777" w:rsidR="00404799" w:rsidRPr="007713C1" w:rsidRDefault="00404799" w:rsidP="00ED1C72">
      <w:pPr>
        <w:pStyle w:val="ListParagraph"/>
        <w:numPr>
          <w:ilvl w:val="0"/>
          <w:numId w:val="1"/>
        </w:numPr>
        <w:pBdr>
          <w:top w:val="single" w:sz="4" w:space="1" w:color="auto"/>
          <w:left w:val="single" w:sz="4" w:space="4" w:color="auto"/>
          <w:bottom w:val="single" w:sz="4" w:space="1" w:color="auto"/>
          <w:right w:val="single" w:sz="4" w:space="4" w:color="auto"/>
        </w:pBdr>
        <w:spacing w:after="360"/>
        <w:rPr>
          <w:rFonts w:ascii="Times New Roman" w:hAnsi="Times New Roman" w:cs="Times New Roman"/>
          <w:b/>
          <w:sz w:val="24"/>
          <w:szCs w:val="24"/>
        </w:rPr>
      </w:pPr>
      <w:r w:rsidRPr="007713C1">
        <w:rPr>
          <w:rFonts w:ascii="Times New Roman" w:hAnsi="Times New Roman" w:cs="Times New Roman"/>
          <w:b/>
          <w:sz w:val="24"/>
          <w:szCs w:val="24"/>
        </w:rPr>
        <w:t xml:space="preserve">Минимален размер на безвъзмездната финансова помощ: </w:t>
      </w:r>
      <w:r w:rsidR="00237204">
        <w:rPr>
          <w:rFonts w:ascii="Times New Roman" w:hAnsi="Times New Roman" w:cs="Times New Roman"/>
          <w:b/>
          <w:sz w:val="24"/>
          <w:szCs w:val="24"/>
        </w:rPr>
        <w:t>10</w:t>
      </w:r>
      <w:r w:rsidR="008D7905">
        <w:rPr>
          <w:rFonts w:ascii="Times New Roman" w:hAnsi="Times New Roman" w:cs="Times New Roman"/>
          <w:b/>
          <w:sz w:val="24"/>
          <w:szCs w:val="24"/>
        </w:rPr>
        <w:t xml:space="preserve"> 000</w:t>
      </w:r>
      <w:r w:rsidRPr="007713C1">
        <w:rPr>
          <w:rFonts w:ascii="Times New Roman" w:hAnsi="Times New Roman" w:cs="Times New Roman"/>
          <w:b/>
          <w:sz w:val="24"/>
          <w:szCs w:val="24"/>
        </w:rPr>
        <w:t xml:space="preserve"> лева </w:t>
      </w:r>
    </w:p>
    <w:p w14:paraId="12DCFD76" w14:textId="77777777" w:rsidR="00404799" w:rsidRDefault="00404799" w:rsidP="00ED1C72">
      <w:pPr>
        <w:pStyle w:val="ListParagraph"/>
        <w:numPr>
          <w:ilvl w:val="0"/>
          <w:numId w:val="1"/>
        </w:numPr>
        <w:pBdr>
          <w:top w:val="single" w:sz="4" w:space="1" w:color="auto"/>
          <w:left w:val="single" w:sz="4" w:space="4" w:color="auto"/>
          <w:bottom w:val="single" w:sz="4" w:space="1" w:color="auto"/>
          <w:right w:val="single" w:sz="4" w:space="4" w:color="auto"/>
        </w:pBdr>
        <w:spacing w:after="360"/>
        <w:rPr>
          <w:rFonts w:ascii="Times New Roman" w:hAnsi="Times New Roman" w:cs="Times New Roman"/>
          <w:b/>
          <w:sz w:val="24"/>
          <w:szCs w:val="24"/>
        </w:rPr>
      </w:pPr>
      <w:r w:rsidRPr="007713C1">
        <w:rPr>
          <w:rFonts w:ascii="Times New Roman" w:hAnsi="Times New Roman" w:cs="Times New Roman"/>
          <w:b/>
          <w:sz w:val="24"/>
          <w:szCs w:val="24"/>
        </w:rPr>
        <w:t xml:space="preserve">Максимален размер на безвъзмездната финансова помощ: </w:t>
      </w:r>
      <w:r w:rsidR="00237204">
        <w:rPr>
          <w:rFonts w:ascii="Times New Roman" w:hAnsi="Times New Roman" w:cs="Times New Roman"/>
          <w:b/>
          <w:sz w:val="24"/>
          <w:szCs w:val="24"/>
        </w:rPr>
        <w:t>30</w:t>
      </w:r>
      <w:r w:rsidR="008D7905">
        <w:rPr>
          <w:rFonts w:ascii="Times New Roman" w:hAnsi="Times New Roman" w:cs="Times New Roman"/>
          <w:b/>
          <w:sz w:val="24"/>
          <w:szCs w:val="24"/>
        </w:rPr>
        <w:t>0 000</w:t>
      </w:r>
      <w:r w:rsidRPr="007713C1">
        <w:rPr>
          <w:rFonts w:ascii="Times New Roman" w:hAnsi="Times New Roman" w:cs="Times New Roman"/>
          <w:b/>
          <w:sz w:val="24"/>
          <w:szCs w:val="24"/>
        </w:rPr>
        <w:t xml:space="preserve"> лева </w:t>
      </w:r>
    </w:p>
    <w:p w14:paraId="121573F1" w14:textId="7DAA826B" w:rsidR="00587C68" w:rsidRDefault="008D7905" w:rsidP="00587C68">
      <w:pPr>
        <w:pStyle w:val="ListParagraph"/>
        <w:numPr>
          <w:ilvl w:val="0"/>
          <w:numId w:val="1"/>
        </w:numPr>
        <w:pBdr>
          <w:top w:val="single" w:sz="4" w:space="1" w:color="auto"/>
          <w:left w:val="single" w:sz="4" w:space="4" w:color="auto"/>
          <w:bottom w:val="single" w:sz="4" w:space="1" w:color="auto"/>
          <w:right w:val="single" w:sz="4" w:space="4" w:color="auto"/>
        </w:pBdr>
        <w:spacing w:after="0"/>
        <w:ind w:left="357" w:hanging="357"/>
        <w:rPr>
          <w:rFonts w:ascii="Times New Roman" w:hAnsi="Times New Roman" w:cs="Times New Roman"/>
          <w:b/>
          <w:sz w:val="24"/>
          <w:szCs w:val="24"/>
        </w:rPr>
      </w:pPr>
      <w:r w:rsidRPr="008D7905">
        <w:rPr>
          <w:rFonts w:ascii="Times New Roman" w:hAnsi="Times New Roman" w:cs="Times New Roman"/>
          <w:b/>
          <w:sz w:val="24"/>
          <w:szCs w:val="24"/>
        </w:rPr>
        <w:lastRenderedPageBreak/>
        <w:t>Максималният размер на общите допустими разходи за всеки проект е в рамките на 391 166 лв.</w:t>
      </w:r>
      <w:bookmarkStart w:id="24" w:name="_Toc445385575"/>
    </w:p>
    <w:p w14:paraId="260870FC" w14:textId="77777777" w:rsidR="0073466F" w:rsidRDefault="0073466F" w:rsidP="0073466F">
      <w:pPr>
        <w:pBdr>
          <w:top w:val="single" w:sz="4" w:space="1" w:color="auto"/>
          <w:left w:val="single" w:sz="4" w:space="4" w:color="auto"/>
          <w:bottom w:val="single" w:sz="4" w:space="1" w:color="auto"/>
          <w:right w:val="single" w:sz="4" w:space="4" w:color="auto"/>
        </w:pBdr>
        <w:spacing w:after="0"/>
        <w:rPr>
          <w:rFonts w:ascii="Times New Roman" w:hAnsi="Times New Roman" w:cs="Times New Roman"/>
          <w:b/>
          <w:sz w:val="24"/>
          <w:szCs w:val="24"/>
        </w:rPr>
      </w:pPr>
    </w:p>
    <w:p w14:paraId="615EB259" w14:textId="5300F4B5" w:rsidR="0073466F" w:rsidRPr="0073466F" w:rsidRDefault="0073466F" w:rsidP="00E1718D">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b/>
          <w:sz w:val="24"/>
          <w:szCs w:val="24"/>
        </w:rPr>
      </w:pPr>
      <w:r>
        <w:rPr>
          <w:rFonts w:ascii="Times New Roman" w:hAnsi="Times New Roman" w:cs="Times New Roman"/>
          <w:b/>
          <w:sz w:val="24"/>
          <w:szCs w:val="24"/>
        </w:rPr>
        <w:t>За настоящия втори</w:t>
      </w:r>
      <w:r w:rsidRPr="0073466F">
        <w:rPr>
          <w:rFonts w:ascii="Times New Roman" w:hAnsi="Times New Roman" w:cs="Times New Roman"/>
          <w:b/>
          <w:sz w:val="24"/>
          <w:szCs w:val="24"/>
        </w:rPr>
        <w:t xml:space="preserve"> прием на проектни предложения, максималният размер на БФП е в съответствие с остатъчния финансов ресурс по процедурата в размер на </w:t>
      </w:r>
      <w:r w:rsidR="00E1718D">
        <w:rPr>
          <w:rFonts w:ascii="Times New Roman" w:hAnsi="Times New Roman" w:cs="Times New Roman"/>
          <w:b/>
          <w:sz w:val="24"/>
          <w:szCs w:val="24"/>
        </w:rPr>
        <w:t>799 015,76 лв.</w:t>
      </w:r>
    </w:p>
    <w:p w14:paraId="4CEED71E" w14:textId="77777777" w:rsidR="00E9524E" w:rsidRDefault="00E9524E" w:rsidP="007570DC">
      <w:pPr>
        <w:pStyle w:val="Heading1"/>
      </w:pPr>
    </w:p>
    <w:p w14:paraId="32A1CDA1" w14:textId="77777777" w:rsidR="00803231" w:rsidRPr="007713C1" w:rsidRDefault="00D23417" w:rsidP="007570DC">
      <w:pPr>
        <w:pStyle w:val="Heading1"/>
        <w:rPr>
          <w:sz w:val="24"/>
          <w:szCs w:val="24"/>
        </w:rPr>
      </w:pPr>
      <w:bookmarkStart w:id="25" w:name="_Toc534292206"/>
      <w:r w:rsidRPr="007713C1">
        <w:t>10. Процент на съфинансиране</w:t>
      </w:r>
      <w:r w:rsidR="00803231" w:rsidRPr="007713C1">
        <w:t>:</w:t>
      </w:r>
      <w:bookmarkEnd w:id="24"/>
      <w:bookmarkEnd w:id="25"/>
    </w:p>
    <w:p w14:paraId="38AA77D8" w14:textId="77777777" w:rsidR="00D20747" w:rsidRDefault="003C1DEB" w:rsidP="00050480">
      <w:pPr>
        <w:pStyle w:val="ListParagraph"/>
        <w:pBdr>
          <w:top w:val="single" w:sz="4" w:space="1" w:color="auto"/>
          <w:left w:val="single" w:sz="4" w:space="4" w:color="auto"/>
          <w:bottom w:val="single" w:sz="4" w:space="1" w:color="auto"/>
          <w:right w:val="single" w:sz="4" w:space="4" w:color="auto"/>
        </w:pBdr>
        <w:spacing w:after="36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Максималният интензитет на БФП е </w:t>
      </w:r>
      <w:r w:rsidR="00CB5852">
        <w:rPr>
          <w:rFonts w:ascii="Times New Roman" w:hAnsi="Times New Roman" w:cs="Times New Roman"/>
          <w:b/>
          <w:sz w:val="24"/>
          <w:szCs w:val="24"/>
        </w:rPr>
        <w:t xml:space="preserve">до </w:t>
      </w:r>
      <w:r w:rsidR="00237204">
        <w:rPr>
          <w:rFonts w:ascii="Times New Roman" w:hAnsi="Times New Roman" w:cs="Times New Roman"/>
          <w:b/>
          <w:sz w:val="24"/>
          <w:szCs w:val="24"/>
        </w:rPr>
        <w:t>10</w:t>
      </w:r>
      <w:r w:rsidR="00A23656">
        <w:rPr>
          <w:rFonts w:ascii="Times New Roman" w:hAnsi="Times New Roman" w:cs="Times New Roman"/>
          <w:b/>
          <w:sz w:val="24"/>
          <w:szCs w:val="24"/>
        </w:rPr>
        <w:t>0</w:t>
      </w:r>
      <w:r w:rsidRPr="003C1DEB">
        <w:rPr>
          <w:rFonts w:ascii="Times New Roman" w:hAnsi="Times New Roman" w:cs="Times New Roman"/>
          <w:b/>
          <w:sz w:val="24"/>
          <w:szCs w:val="24"/>
        </w:rPr>
        <w:t>%</w:t>
      </w:r>
      <w:r>
        <w:rPr>
          <w:rFonts w:ascii="Times New Roman" w:hAnsi="Times New Roman" w:cs="Times New Roman"/>
          <w:sz w:val="24"/>
          <w:szCs w:val="24"/>
        </w:rPr>
        <w:t xml:space="preserve"> от общата </w:t>
      </w:r>
      <w:r w:rsidR="00050480">
        <w:rPr>
          <w:rFonts w:ascii="Times New Roman" w:hAnsi="Times New Roman" w:cs="Times New Roman"/>
          <w:sz w:val="24"/>
          <w:szCs w:val="24"/>
        </w:rPr>
        <w:t>стойност на допустимите разходи.</w:t>
      </w:r>
    </w:p>
    <w:p w14:paraId="045A7AE6" w14:textId="19EBFA54" w:rsidR="008D7905" w:rsidRDefault="00D20747" w:rsidP="00D20747">
      <w:pPr>
        <w:pStyle w:val="ListParagraph"/>
        <w:pBdr>
          <w:top w:val="single" w:sz="4" w:space="1" w:color="auto"/>
          <w:left w:val="single" w:sz="4" w:space="4" w:color="auto"/>
          <w:bottom w:val="single" w:sz="4" w:space="1" w:color="auto"/>
          <w:right w:val="single" w:sz="4" w:space="4" w:color="auto"/>
        </w:pBdr>
        <w:spacing w:after="0" w:line="240" w:lineRule="auto"/>
        <w:ind w:left="0"/>
        <w:jc w:val="both"/>
        <w:rPr>
          <w:rFonts w:ascii="Times New Roman" w:hAnsi="Times New Roman" w:cs="Times New Roman"/>
          <w:sz w:val="24"/>
          <w:szCs w:val="24"/>
        </w:rPr>
      </w:pPr>
      <w:r w:rsidRPr="00D20747">
        <w:rPr>
          <w:rFonts w:ascii="Times New Roman" w:hAnsi="Times New Roman" w:cs="Times New Roman"/>
          <w:sz w:val="24"/>
          <w:szCs w:val="24"/>
        </w:rPr>
        <w:t>Когато проектът генерира приходи – финансирането се определя въз</w:t>
      </w:r>
      <w:r>
        <w:rPr>
          <w:rFonts w:ascii="Times New Roman" w:hAnsi="Times New Roman" w:cs="Times New Roman"/>
          <w:sz w:val="24"/>
          <w:szCs w:val="24"/>
        </w:rPr>
        <w:t xml:space="preserve"> основа на анализ разходи-ползи (Приложение № </w:t>
      </w:r>
      <w:r w:rsidR="00E85A94">
        <w:rPr>
          <w:rFonts w:ascii="Times New Roman" w:hAnsi="Times New Roman" w:cs="Times New Roman"/>
          <w:sz w:val="24"/>
          <w:szCs w:val="24"/>
        </w:rPr>
        <w:t>9.1/9</w:t>
      </w:r>
      <w:r>
        <w:rPr>
          <w:rFonts w:ascii="Times New Roman" w:hAnsi="Times New Roman" w:cs="Times New Roman"/>
          <w:sz w:val="24"/>
          <w:szCs w:val="24"/>
        </w:rPr>
        <w:t>.2.)</w:t>
      </w:r>
    </w:p>
    <w:p w14:paraId="73490479" w14:textId="77777777" w:rsidR="00AB5235" w:rsidRDefault="00AB5235" w:rsidP="00BF3F7C">
      <w:pPr>
        <w:pStyle w:val="Heading1"/>
      </w:pPr>
      <w:bookmarkStart w:id="26" w:name="_Toc445385576"/>
      <w:bookmarkStart w:id="27" w:name="_Toc534292207"/>
    </w:p>
    <w:p w14:paraId="3216E4F2" w14:textId="36909592" w:rsidR="0007516F" w:rsidRPr="0007516F" w:rsidRDefault="009B1A2D" w:rsidP="00BF3F7C">
      <w:pPr>
        <w:pStyle w:val="Heading1"/>
      </w:pPr>
      <w:r w:rsidRPr="007713C1">
        <w:t>11. Допустими кандидати:</w:t>
      </w:r>
      <w:bookmarkEnd w:id="26"/>
      <w:bookmarkEnd w:id="27"/>
    </w:p>
    <w:tbl>
      <w:tblPr>
        <w:tblStyle w:val="TableGrid"/>
        <w:tblW w:w="9640" w:type="dxa"/>
        <w:tblInd w:w="-147" w:type="dxa"/>
        <w:tblLook w:val="04A0" w:firstRow="1" w:lastRow="0" w:firstColumn="1" w:lastColumn="0" w:noHBand="0" w:noVBand="1"/>
      </w:tblPr>
      <w:tblGrid>
        <w:gridCol w:w="9640"/>
      </w:tblGrid>
      <w:tr w:rsidR="00822571" w:rsidRPr="007713C1" w14:paraId="112A2C47" w14:textId="77777777" w:rsidTr="00832B41">
        <w:tc>
          <w:tcPr>
            <w:tcW w:w="9640" w:type="dxa"/>
          </w:tcPr>
          <w:p w14:paraId="193ACF53" w14:textId="5C67634F" w:rsidR="003C1FA4" w:rsidRDefault="00EA2CBC" w:rsidP="001C50FC">
            <w:pPr>
              <w:pStyle w:val="ListParagraph"/>
              <w:spacing w:after="360" w:line="276" w:lineRule="auto"/>
              <w:ind w:left="0"/>
              <w:jc w:val="both"/>
              <w:rPr>
                <w:b/>
                <w:sz w:val="24"/>
                <w:szCs w:val="24"/>
              </w:rPr>
            </w:pPr>
            <w:r>
              <w:rPr>
                <w:b/>
                <w:sz w:val="24"/>
                <w:szCs w:val="24"/>
              </w:rPr>
              <w:t>Допустими кандидати по настоящата процедура са:</w:t>
            </w:r>
          </w:p>
          <w:p w14:paraId="5D16D5D5" w14:textId="4C139BEF" w:rsidR="002052A9" w:rsidRDefault="002052A9" w:rsidP="00824C2B">
            <w:pPr>
              <w:pStyle w:val="ListParagraph"/>
              <w:ind w:left="0"/>
              <w:jc w:val="both"/>
              <w:rPr>
                <w:sz w:val="24"/>
                <w:szCs w:val="24"/>
              </w:rPr>
            </w:pPr>
          </w:p>
          <w:p w14:paraId="3DC39574" w14:textId="7DD3A619" w:rsidR="00824C2B" w:rsidRPr="00824C2B" w:rsidRDefault="00824C2B" w:rsidP="00824C2B">
            <w:pPr>
              <w:pStyle w:val="ListParagraph"/>
              <w:numPr>
                <w:ilvl w:val="0"/>
                <w:numId w:val="18"/>
              </w:numPr>
              <w:spacing w:before="120"/>
              <w:jc w:val="both"/>
              <w:rPr>
                <w:sz w:val="24"/>
                <w:szCs w:val="24"/>
              </w:rPr>
            </w:pPr>
            <w:r w:rsidRPr="00824C2B">
              <w:rPr>
                <w:sz w:val="24"/>
                <w:szCs w:val="24"/>
              </w:rPr>
              <w:t>Община Поморие за в</w:t>
            </w:r>
            <w:r>
              <w:rPr>
                <w:sz w:val="24"/>
                <w:szCs w:val="24"/>
              </w:rPr>
              <w:t xml:space="preserve">сички допустими дейности по </w:t>
            </w:r>
            <w:r w:rsidRPr="00824C2B">
              <w:rPr>
                <w:sz w:val="24"/>
                <w:szCs w:val="24"/>
              </w:rPr>
              <w:t>мярката</w:t>
            </w:r>
          </w:p>
          <w:p w14:paraId="5A913724" w14:textId="68192CC4" w:rsidR="00824C2B" w:rsidRPr="00824C2B" w:rsidRDefault="00824C2B" w:rsidP="00824C2B">
            <w:pPr>
              <w:pStyle w:val="ListParagraph"/>
              <w:numPr>
                <w:ilvl w:val="0"/>
                <w:numId w:val="18"/>
              </w:numPr>
              <w:spacing w:before="120"/>
              <w:jc w:val="both"/>
              <w:rPr>
                <w:sz w:val="24"/>
                <w:szCs w:val="24"/>
              </w:rPr>
            </w:pPr>
            <w:r w:rsidRPr="00824C2B">
              <w:rPr>
                <w:sz w:val="24"/>
                <w:szCs w:val="24"/>
              </w:rPr>
              <w:t>Юридически лица с нестопанска цел за дейности, свързани със социалната и</w:t>
            </w:r>
            <w:r>
              <w:rPr>
                <w:sz w:val="24"/>
                <w:szCs w:val="24"/>
              </w:rPr>
              <w:t xml:space="preserve"> </w:t>
            </w:r>
            <w:r w:rsidRPr="00824C2B">
              <w:rPr>
                <w:sz w:val="24"/>
                <w:szCs w:val="24"/>
              </w:rPr>
              <w:t>спортната инфраструктура и културния живот;</w:t>
            </w:r>
          </w:p>
          <w:p w14:paraId="754B14BC" w14:textId="263E21FC" w:rsidR="00D20747" w:rsidRPr="00D20747" w:rsidRDefault="00824C2B" w:rsidP="00D20747">
            <w:pPr>
              <w:pStyle w:val="ListParagraph"/>
              <w:numPr>
                <w:ilvl w:val="0"/>
                <w:numId w:val="18"/>
              </w:numPr>
              <w:spacing w:before="120"/>
              <w:jc w:val="both"/>
              <w:rPr>
                <w:sz w:val="24"/>
                <w:szCs w:val="24"/>
              </w:rPr>
            </w:pPr>
            <w:r w:rsidRPr="00824C2B">
              <w:rPr>
                <w:sz w:val="24"/>
                <w:szCs w:val="24"/>
              </w:rPr>
              <w:t>Читалища за дейн</w:t>
            </w:r>
            <w:r w:rsidR="00D20747">
              <w:rPr>
                <w:sz w:val="24"/>
                <w:szCs w:val="24"/>
              </w:rPr>
              <w:t>ости свързани с културния живот.</w:t>
            </w:r>
          </w:p>
          <w:p w14:paraId="59F72C8B" w14:textId="77777777" w:rsidR="00D20747" w:rsidRPr="00D20747" w:rsidRDefault="00D20747" w:rsidP="00D20747">
            <w:pPr>
              <w:spacing w:before="120"/>
              <w:jc w:val="both"/>
              <w:rPr>
                <w:sz w:val="24"/>
                <w:szCs w:val="24"/>
              </w:rPr>
            </w:pPr>
          </w:p>
          <w:p w14:paraId="6235A784" w14:textId="428D8388" w:rsidR="0007516F" w:rsidRDefault="0007516F" w:rsidP="002953B4">
            <w:pPr>
              <w:widowControl w:val="0"/>
              <w:shd w:val="clear" w:color="auto" w:fill="F2F2F2" w:themeFill="background1" w:themeFillShade="F2"/>
              <w:autoSpaceDE w:val="0"/>
              <w:autoSpaceDN w:val="0"/>
              <w:adjustRightInd w:val="0"/>
              <w:spacing w:before="100" w:beforeAutospacing="1"/>
              <w:contextualSpacing/>
              <w:jc w:val="both"/>
              <w:rPr>
                <w:rFonts w:eastAsia="Calibri"/>
                <w:b/>
                <w:sz w:val="24"/>
                <w:szCs w:val="24"/>
              </w:rPr>
            </w:pPr>
            <w:r w:rsidRPr="00A11AC1">
              <w:rPr>
                <w:rFonts w:eastAsia="Calibri"/>
                <w:b/>
                <w:sz w:val="24"/>
                <w:szCs w:val="24"/>
              </w:rPr>
              <w:t>ВАЖНО:</w:t>
            </w:r>
          </w:p>
          <w:p w14:paraId="17E39725" w14:textId="55923BB3" w:rsidR="00A11AC1" w:rsidRPr="002953B4" w:rsidRDefault="0007516F" w:rsidP="002953B4">
            <w:pPr>
              <w:pStyle w:val="ListParagraph"/>
              <w:shd w:val="clear" w:color="auto" w:fill="F2F2F2" w:themeFill="background1" w:themeFillShade="F2"/>
              <w:ind w:left="0"/>
              <w:contextualSpacing w:val="0"/>
              <w:jc w:val="both"/>
              <w:rPr>
                <w:rFonts w:eastAsia="Calibri"/>
                <w:b/>
                <w:sz w:val="24"/>
                <w:szCs w:val="24"/>
              </w:rPr>
            </w:pPr>
            <w:r w:rsidRPr="00A11AC1">
              <w:rPr>
                <w:rFonts w:eastAsia="Calibri"/>
                <w:b/>
                <w:sz w:val="24"/>
                <w:szCs w:val="24"/>
              </w:rPr>
              <w:t xml:space="preserve">В </w:t>
            </w:r>
            <w:r>
              <w:rPr>
                <w:rFonts w:eastAsia="Calibri"/>
                <w:b/>
                <w:sz w:val="24"/>
                <w:szCs w:val="24"/>
              </w:rPr>
              <w:t xml:space="preserve">Раздел </w:t>
            </w:r>
            <w:r w:rsidR="00BE42E8">
              <w:rPr>
                <w:rFonts w:eastAsia="Calibri"/>
                <w:b/>
                <w:sz w:val="24"/>
                <w:szCs w:val="24"/>
              </w:rPr>
              <w:t>24</w:t>
            </w:r>
            <w:r w:rsidRPr="00A11AC1">
              <w:rPr>
                <w:rFonts w:eastAsia="Calibri"/>
                <w:b/>
                <w:sz w:val="24"/>
                <w:szCs w:val="24"/>
              </w:rPr>
              <w:t xml:space="preserve"> „Списък на документи, които се подават на етап кандидатстване“ от Условията за кандидатстване са посочени документите, които трябва да се приложат, за да се удостовери допустимостта на кандидата. Условията, за които не е предвиден документ, се проверяват служебно.</w:t>
            </w:r>
          </w:p>
        </w:tc>
      </w:tr>
    </w:tbl>
    <w:p w14:paraId="7C7CE408" w14:textId="77777777" w:rsidR="005B3B73" w:rsidRDefault="005B3B73" w:rsidP="00D137FE">
      <w:bookmarkStart w:id="28" w:name="_Toc504755043"/>
      <w:bookmarkStart w:id="29" w:name="_Toc445385579"/>
    </w:p>
    <w:p w14:paraId="1F2F5911" w14:textId="1F8CED6B" w:rsidR="00220327" w:rsidRDefault="005B3B73" w:rsidP="00BF3F7C">
      <w:pPr>
        <w:pStyle w:val="Heading2"/>
      </w:pPr>
      <w:bookmarkStart w:id="30" w:name="_Toc534292208"/>
      <w:r>
        <w:t>11.1. Критерии за допустимост на кандидатите:</w:t>
      </w:r>
      <w:bookmarkEnd w:id="28"/>
      <w:bookmarkEnd w:id="30"/>
    </w:p>
    <w:p w14:paraId="569ACE90" w14:textId="2E126F2C" w:rsidR="001908BE" w:rsidRDefault="001908BE" w:rsidP="00BF3F7C">
      <w:pPr>
        <w:widowControl w:val="0"/>
        <w:pBdr>
          <w:top w:val="single" w:sz="4" w:space="1" w:color="auto"/>
          <w:left w:val="single" w:sz="4" w:space="4" w:color="auto"/>
          <w:bottom w:val="single" w:sz="4" w:space="1" w:color="auto"/>
          <w:right w:val="single" w:sz="4" w:space="0" w:color="auto"/>
        </w:pBdr>
        <w:autoSpaceDE w:val="0"/>
        <w:autoSpaceDN w:val="0"/>
        <w:adjustRightInd w:val="0"/>
        <w:spacing w:after="0" w:line="240" w:lineRule="auto"/>
        <w:jc w:val="both"/>
        <w:rPr>
          <w:rFonts w:ascii="Times New Roman" w:eastAsia="Times New Roman" w:hAnsi="Times New Roman" w:cs="Times New Roman"/>
          <w:sz w:val="24"/>
          <w:szCs w:val="24"/>
          <w:lang w:eastAsia="bg-BG"/>
        </w:rPr>
      </w:pPr>
      <w:r w:rsidRPr="001908BE">
        <w:rPr>
          <w:rFonts w:ascii="Times New Roman" w:eastAsia="Times New Roman" w:hAnsi="Times New Roman" w:cs="Times New Roman"/>
          <w:sz w:val="24"/>
          <w:szCs w:val="24"/>
          <w:lang w:eastAsia="bg-BG"/>
        </w:rPr>
        <w:t xml:space="preserve">Кандидатът/получателят на финансова помощ следва да има седалище и адрес на управление на територията на действие на МИГ </w:t>
      </w:r>
      <w:r>
        <w:rPr>
          <w:rFonts w:ascii="Times New Roman" w:eastAsia="Times New Roman" w:hAnsi="Times New Roman" w:cs="Times New Roman"/>
          <w:sz w:val="24"/>
          <w:szCs w:val="24"/>
          <w:lang w:eastAsia="bg-BG"/>
        </w:rPr>
        <w:t>Поморие</w:t>
      </w:r>
      <w:r w:rsidRPr="001908BE">
        <w:rPr>
          <w:rFonts w:ascii="Times New Roman" w:eastAsia="Times New Roman" w:hAnsi="Times New Roman" w:cs="Times New Roman"/>
          <w:sz w:val="24"/>
          <w:szCs w:val="24"/>
          <w:lang w:eastAsia="bg-BG"/>
        </w:rPr>
        <w:t xml:space="preserve"> и да осъществява дейностите по проекта на територията на МИГ </w:t>
      </w:r>
      <w:r>
        <w:rPr>
          <w:rFonts w:ascii="Times New Roman" w:eastAsia="Times New Roman" w:hAnsi="Times New Roman" w:cs="Times New Roman"/>
          <w:sz w:val="24"/>
          <w:szCs w:val="24"/>
          <w:lang w:eastAsia="bg-BG"/>
        </w:rPr>
        <w:t>Поморие.</w:t>
      </w:r>
    </w:p>
    <w:p w14:paraId="0BF354CA" w14:textId="77777777" w:rsidR="001908BE" w:rsidRDefault="001908BE" w:rsidP="00BF3F7C">
      <w:pPr>
        <w:widowControl w:val="0"/>
        <w:pBdr>
          <w:top w:val="single" w:sz="4" w:space="1" w:color="auto"/>
          <w:left w:val="single" w:sz="4" w:space="4" w:color="auto"/>
          <w:bottom w:val="single" w:sz="4" w:space="1" w:color="auto"/>
          <w:right w:val="single" w:sz="4" w:space="0" w:color="auto"/>
        </w:pBdr>
        <w:autoSpaceDE w:val="0"/>
        <w:autoSpaceDN w:val="0"/>
        <w:adjustRightInd w:val="0"/>
        <w:spacing w:after="0" w:line="240" w:lineRule="auto"/>
        <w:jc w:val="both"/>
        <w:rPr>
          <w:rFonts w:ascii="Times New Roman" w:eastAsia="Times New Roman" w:hAnsi="Times New Roman" w:cs="Times New Roman"/>
          <w:sz w:val="24"/>
          <w:szCs w:val="24"/>
          <w:lang w:eastAsia="bg-BG"/>
        </w:rPr>
      </w:pPr>
    </w:p>
    <w:p w14:paraId="7866500F" w14:textId="77777777" w:rsidR="000806CA" w:rsidRDefault="000806CA" w:rsidP="00BF3F7C">
      <w:pPr>
        <w:widowControl w:val="0"/>
        <w:pBdr>
          <w:top w:val="single" w:sz="4" w:space="1" w:color="auto"/>
          <w:left w:val="single" w:sz="4" w:space="4" w:color="auto"/>
          <w:bottom w:val="single" w:sz="4" w:space="1" w:color="auto"/>
          <w:right w:val="single" w:sz="4" w:space="0" w:color="auto"/>
        </w:pBdr>
        <w:autoSpaceDE w:val="0"/>
        <w:autoSpaceDN w:val="0"/>
        <w:adjustRightInd w:val="0"/>
        <w:spacing w:after="0" w:line="240" w:lineRule="auto"/>
        <w:jc w:val="both"/>
        <w:rPr>
          <w:rFonts w:ascii="Times New Roman" w:eastAsia="Times New Roman" w:hAnsi="Times New Roman" w:cs="Times New Roman"/>
          <w:sz w:val="24"/>
          <w:szCs w:val="24"/>
          <w:lang w:eastAsia="bg-BG"/>
        </w:rPr>
      </w:pPr>
    </w:p>
    <w:p w14:paraId="601FCA9F" w14:textId="0B1C746C" w:rsidR="0042350F" w:rsidRDefault="000806CA" w:rsidP="000806CA">
      <w:pPr>
        <w:pBdr>
          <w:top w:val="single" w:sz="4" w:space="1" w:color="auto"/>
          <w:left w:val="single" w:sz="4" w:space="4" w:color="auto"/>
          <w:bottom w:val="single" w:sz="4" w:space="1" w:color="auto"/>
          <w:right w:val="single" w:sz="4" w:space="4" w:color="auto"/>
        </w:pBdr>
        <w:jc w:val="both"/>
        <w:rPr>
          <w:rFonts w:ascii="Times New Roman" w:eastAsia="Times New Roman" w:hAnsi="Times New Roman" w:cs="Times New Roman"/>
          <w:sz w:val="24"/>
          <w:szCs w:val="24"/>
          <w:lang w:eastAsia="bg-BG"/>
        </w:rPr>
      </w:pPr>
      <w:r w:rsidRPr="00216DF0">
        <w:rPr>
          <w:rFonts w:ascii="Times New Roman" w:eastAsia="Times New Roman" w:hAnsi="Times New Roman" w:cs="Times New Roman"/>
          <w:sz w:val="24"/>
          <w:szCs w:val="24"/>
          <w:lang w:eastAsia="bg-BG"/>
        </w:rPr>
        <w:lastRenderedPageBreak/>
        <w:t xml:space="preserve">ВАЖНО! Към момента на кандидатстването кандидат/получател на помощ и/или негов законен или упълномощен представител следва да не попада в някое от обстоятелствата за отстраняване, описани в Декларация за липса на основания за </w:t>
      </w:r>
      <w:r w:rsidRPr="00E155D5">
        <w:rPr>
          <w:rFonts w:ascii="Times New Roman" w:eastAsia="Times New Roman" w:hAnsi="Times New Roman" w:cs="Times New Roman"/>
          <w:sz w:val="24"/>
          <w:szCs w:val="24"/>
          <w:lang w:eastAsia="bg-BG"/>
        </w:rPr>
        <w:t>отстраняване (</w:t>
      </w:r>
      <w:r w:rsidR="00A10B0D">
        <w:rPr>
          <w:rFonts w:ascii="Times New Roman" w:eastAsia="Times New Roman" w:hAnsi="Times New Roman" w:cs="Times New Roman"/>
          <w:sz w:val="24"/>
          <w:szCs w:val="24"/>
          <w:lang w:eastAsia="bg-BG"/>
        </w:rPr>
        <w:t>Приложение 5</w:t>
      </w:r>
      <w:r w:rsidRPr="00E155D5">
        <w:rPr>
          <w:rFonts w:ascii="Times New Roman" w:eastAsia="Times New Roman" w:hAnsi="Times New Roman" w:cs="Times New Roman"/>
          <w:sz w:val="24"/>
          <w:szCs w:val="24"/>
          <w:lang w:eastAsia="bg-BG"/>
        </w:rPr>
        <w:t>).</w:t>
      </w:r>
      <w:r w:rsidRPr="00E155D5">
        <w:rPr>
          <w:rFonts w:ascii="Times New Roman" w:eastAsia="Times New Roman" w:hAnsi="Times New Roman" w:cs="Times New Roman"/>
          <w:color w:val="FF0000"/>
          <w:sz w:val="24"/>
          <w:szCs w:val="24"/>
          <w:lang w:eastAsia="bg-BG"/>
        </w:rPr>
        <w:t xml:space="preserve"> </w:t>
      </w:r>
      <w:r w:rsidRPr="002748BE">
        <w:rPr>
          <w:rFonts w:ascii="Times New Roman" w:eastAsia="Times New Roman" w:hAnsi="Times New Roman" w:cs="Times New Roman"/>
          <w:sz w:val="24"/>
          <w:szCs w:val="24"/>
          <w:lang w:eastAsia="bg-BG"/>
        </w:rPr>
        <w:t xml:space="preserve">Декларацията следва да бъде попълнена и подписана от всички лица с право да представляват </w:t>
      </w:r>
      <w:r w:rsidRPr="00216DF0">
        <w:rPr>
          <w:rFonts w:ascii="Times New Roman" w:eastAsia="Times New Roman" w:hAnsi="Times New Roman" w:cs="Times New Roman"/>
          <w:sz w:val="24"/>
          <w:szCs w:val="24"/>
          <w:lang w:eastAsia="bg-BG"/>
        </w:rPr>
        <w:t>кандидат</w:t>
      </w:r>
      <w:r w:rsidR="008C1F6F">
        <w:rPr>
          <w:rFonts w:ascii="Times New Roman" w:eastAsia="Times New Roman" w:hAnsi="Times New Roman" w:cs="Times New Roman"/>
          <w:sz w:val="24"/>
          <w:szCs w:val="24"/>
          <w:lang w:eastAsia="bg-BG"/>
        </w:rPr>
        <w:t>а</w:t>
      </w:r>
      <w:r w:rsidRPr="00216DF0">
        <w:rPr>
          <w:rFonts w:ascii="Times New Roman" w:eastAsia="Times New Roman" w:hAnsi="Times New Roman" w:cs="Times New Roman"/>
          <w:sz w:val="24"/>
          <w:szCs w:val="24"/>
          <w:lang w:eastAsia="bg-BG"/>
        </w:rPr>
        <w:t xml:space="preserve"> (независимо от това дали го представляват заедно и/или поотделно, и/или по друг начин). Декларираните обстоятелства подлежат на проверки от Комисията за подбор на проектни предложения и от ДФЗ!</w:t>
      </w:r>
    </w:p>
    <w:p w14:paraId="3936AF44" w14:textId="52D4066C" w:rsidR="00CD0349" w:rsidRDefault="00CD0349" w:rsidP="00CD0349">
      <w:pPr>
        <w:pBdr>
          <w:top w:val="single" w:sz="4" w:space="1" w:color="auto"/>
          <w:left w:val="single" w:sz="4" w:space="4" w:color="auto"/>
          <w:bottom w:val="single" w:sz="4" w:space="1" w:color="auto"/>
          <w:right w:val="single" w:sz="4" w:space="4" w:color="auto"/>
        </w:pBdr>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 xml:space="preserve">ВАЖНО! </w:t>
      </w:r>
      <w:r w:rsidRPr="00CD0349">
        <w:rPr>
          <w:rFonts w:ascii="Times New Roman" w:eastAsia="Times New Roman" w:hAnsi="Times New Roman" w:cs="Times New Roman"/>
          <w:sz w:val="24"/>
          <w:szCs w:val="24"/>
          <w:lang w:eastAsia="bg-BG"/>
        </w:rPr>
        <w:t xml:space="preserve">Към момента на кандидатстването кандидат/получател на помощ и/или негов законен или упълномощен представител следва да не попада в някое от обстоятелствата за </w:t>
      </w:r>
      <w:r w:rsidR="00372DBF">
        <w:rPr>
          <w:rFonts w:ascii="Times New Roman" w:eastAsia="Times New Roman" w:hAnsi="Times New Roman" w:cs="Times New Roman"/>
          <w:sz w:val="24"/>
          <w:szCs w:val="24"/>
          <w:lang w:eastAsia="bg-BG"/>
        </w:rPr>
        <w:t>свързаност</w:t>
      </w:r>
      <w:r w:rsidRPr="00CD0349">
        <w:rPr>
          <w:rFonts w:ascii="Times New Roman" w:eastAsia="Times New Roman" w:hAnsi="Times New Roman" w:cs="Times New Roman"/>
          <w:sz w:val="24"/>
          <w:szCs w:val="24"/>
          <w:lang w:eastAsia="bg-BG"/>
        </w:rPr>
        <w:t xml:space="preserve">, описани в </w:t>
      </w:r>
      <w:r>
        <w:rPr>
          <w:rFonts w:ascii="Times New Roman" w:eastAsia="Times New Roman" w:hAnsi="Times New Roman" w:cs="Times New Roman"/>
          <w:sz w:val="24"/>
          <w:szCs w:val="24"/>
          <w:lang w:eastAsia="bg-BG"/>
        </w:rPr>
        <w:t>ДЕКЛАРАЦИЯ с</w:t>
      </w:r>
      <w:r w:rsidRPr="00CD0349">
        <w:rPr>
          <w:rFonts w:ascii="Times New Roman" w:eastAsia="Times New Roman" w:hAnsi="Times New Roman" w:cs="Times New Roman"/>
          <w:sz w:val="24"/>
          <w:szCs w:val="24"/>
          <w:lang w:eastAsia="bg-BG"/>
        </w:rPr>
        <w:t xml:space="preserve">ъгласно Заповед № 09-647 от 03.07.2019 г. на Ръководителя на УО на ПРСР </w:t>
      </w:r>
      <w:r>
        <w:rPr>
          <w:rFonts w:ascii="Times New Roman" w:eastAsia="Times New Roman" w:hAnsi="Times New Roman" w:cs="Times New Roman"/>
          <w:sz w:val="24"/>
          <w:szCs w:val="24"/>
          <w:lang w:eastAsia="bg-BG"/>
        </w:rPr>
        <w:t>(Приложение № 14</w:t>
      </w:r>
      <w:r w:rsidRPr="00CD0349">
        <w:rPr>
          <w:rFonts w:ascii="Times New Roman" w:eastAsia="Times New Roman" w:hAnsi="Times New Roman" w:cs="Times New Roman"/>
          <w:sz w:val="24"/>
          <w:szCs w:val="24"/>
          <w:lang w:eastAsia="bg-BG"/>
        </w:rPr>
        <w:t xml:space="preserve">). </w:t>
      </w:r>
      <w:r w:rsidR="00ED62B9" w:rsidRPr="00ED62B9">
        <w:rPr>
          <w:rFonts w:ascii="Times New Roman" w:eastAsia="Times New Roman" w:hAnsi="Times New Roman" w:cs="Times New Roman"/>
          <w:b/>
          <w:sz w:val="24"/>
          <w:szCs w:val="24"/>
          <w:lang w:eastAsia="bg-BG"/>
        </w:rPr>
        <w:t>Декларацията е неприложима за публично-правните организации.</w:t>
      </w:r>
      <w:r w:rsidR="00ED62B9">
        <w:rPr>
          <w:rFonts w:ascii="Times New Roman" w:eastAsia="Times New Roman" w:hAnsi="Times New Roman" w:cs="Times New Roman"/>
          <w:sz w:val="24"/>
          <w:szCs w:val="24"/>
          <w:lang w:eastAsia="bg-BG"/>
        </w:rPr>
        <w:t xml:space="preserve"> </w:t>
      </w:r>
      <w:r w:rsidRPr="00CD0349">
        <w:rPr>
          <w:rFonts w:ascii="Times New Roman" w:eastAsia="Times New Roman" w:hAnsi="Times New Roman" w:cs="Times New Roman"/>
          <w:sz w:val="24"/>
          <w:szCs w:val="24"/>
          <w:lang w:eastAsia="bg-BG"/>
        </w:rPr>
        <w:t xml:space="preserve">Декларацията следва да бъде попълнена и подписана от всички лица с право да представляват кандидата (независимо от това дали го представляват заедно и/или поотделно, и/или по друг начин). </w:t>
      </w:r>
    </w:p>
    <w:p w14:paraId="1F02DEB8" w14:textId="3EAD14C5" w:rsidR="000806CA" w:rsidRPr="00FA4524" w:rsidRDefault="000806CA" w:rsidP="000806CA">
      <w:pPr>
        <w:pBdr>
          <w:top w:val="single" w:sz="4" w:space="1" w:color="auto"/>
          <w:left w:val="single" w:sz="4" w:space="4" w:color="auto"/>
          <w:bottom w:val="single" w:sz="4" w:space="1" w:color="auto"/>
          <w:right w:val="single" w:sz="4" w:space="4" w:color="auto"/>
        </w:pBdr>
        <w:jc w:val="both"/>
        <w:rPr>
          <w:rFonts w:ascii="Times New Roman" w:eastAsia="Times New Roman" w:hAnsi="Times New Roman" w:cs="Times New Roman"/>
          <w:sz w:val="24"/>
          <w:szCs w:val="24"/>
          <w:lang w:eastAsia="bg-BG"/>
        </w:rPr>
      </w:pPr>
      <w:r w:rsidRPr="00B4245A">
        <w:rPr>
          <w:rFonts w:ascii="Times New Roman" w:eastAsia="Times New Roman" w:hAnsi="Times New Roman" w:cs="Times New Roman"/>
          <w:sz w:val="24"/>
          <w:szCs w:val="24"/>
          <w:lang w:eastAsia="bg-BG"/>
        </w:rPr>
        <w:t>В Раздел 24 „Списък на документи, които се подават на етап кандидатстване“ са посочени документите, които трябва да се приложат, за да се удостовери допустимостта на кандидата. Условията, за които не е предвиден документ, се проверяват служебно.</w:t>
      </w:r>
    </w:p>
    <w:p w14:paraId="300A98D9" w14:textId="77777777" w:rsidR="00F07C46" w:rsidRDefault="00F07C46" w:rsidP="00561FFC">
      <w:pPr>
        <w:pStyle w:val="Heading1"/>
      </w:pPr>
      <w:bookmarkStart w:id="31" w:name="_Toc534292209"/>
    </w:p>
    <w:p w14:paraId="19F15E5C" w14:textId="77777777" w:rsidR="006F0162" w:rsidRPr="007713C1" w:rsidRDefault="006F0162" w:rsidP="00561FFC">
      <w:pPr>
        <w:pStyle w:val="Heading1"/>
      </w:pPr>
      <w:r w:rsidRPr="007713C1">
        <w:t>12. Допустими партньори</w:t>
      </w:r>
      <w:bookmarkEnd w:id="31"/>
      <w:r w:rsidRPr="007713C1">
        <w:t xml:space="preserve"> </w:t>
      </w:r>
      <w:bookmarkEnd w:id="29"/>
    </w:p>
    <w:tbl>
      <w:tblPr>
        <w:tblStyle w:val="TableGrid"/>
        <w:tblW w:w="0" w:type="auto"/>
        <w:tblLook w:val="04A0" w:firstRow="1" w:lastRow="0" w:firstColumn="1" w:lastColumn="0" w:noHBand="0" w:noVBand="1"/>
      </w:tblPr>
      <w:tblGrid>
        <w:gridCol w:w="9346"/>
      </w:tblGrid>
      <w:tr w:rsidR="000B6C99" w:rsidRPr="007713C1" w14:paraId="18F916DF" w14:textId="77777777" w:rsidTr="007E0C06">
        <w:tc>
          <w:tcPr>
            <w:tcW w:w="9496" w:type="dxa"/>
          </w:tcPr>
          <w:p w14:paraId="5BBDBC99" w14:textId="77777777" w:rsidR="007E0C06" w:rsidRPr="002052A9" w:rsidRDefault="00561FFC" w:rsidP="002052A9">
            <w:pPr>
              <w:jc w:val="both"/>
              <w:rPr>
                <w:sz w:val="24"/>
                <w:szCs w:val="24"/>
              </w:rPr>
            </w:pPr>
            <w:r w:rsidRPr="004C103A">
              <w:rPr>
                <w:sz w:val="24"/>
                <w:szCs w:val="24"/>
              </w:rPr>
              <w:t>Неприложимо.</w:t>
            </w:r>
          </w:p>
        </w:tc>
      </w:tr>
    </w:tbl>
    <w:p w14:paraId="509E5276" w14:textId="77777777" w:rsidR="00A04337" w:rsidRDefault="00A04337" w:rsidP="007A0799">
      <w:pPr>
        <w:pStyle w:val="Heading1"/>
      </w:pPr>
      <w:bookmarkStart w:id="32" w:name="_Toc445385583"/>
    </w:p>
    <w:p w14:paraId="41E67D48" w14:textId="3A00ED59" w:rsidR="00A04337" w:rsidRPr="007A0799" w:rsidRDefault="00A75A73" w:rsidP="007A0799">
      <w:pPr>
        <w:pStyle w:val="Heading1"/>
      </w:pPr>
      <w:bookmarkStart w:id="33" w:name="_Toc534292210"/>
      <w:r w:rsidRPr="007713C1">
        <w:t>13. Дейности, допустими за финансиране:</w:t>
      </w:r>
      <w:bookmarkEnd w:id="32"/>
      <w:bookmarkEnd w:id="33"/>
    </w:p>
    <w:p w14:paraId="30E4E2F0" w14:textId="41A38482" w:rsidR="00A04337" w:rsidRPr="00742C46" w:rsidRDefault="00A04337" w:rsidP="002953B4">
      <w:pPr>
        <w:pStyle w:val="Heading2"/>
      </w:pPr>
      <w:bookmarkStart w:id="34" w:name="_Toc504755047"/>
      <w:bookmarkStart w:id="35" w:name="_Toc534292211"/>
      <w:r w:rsidRPr="00742C46">
        <w:t>13.1: Допустими дейности:</w:t>
      </w:r>
      <w:bookmarkEnd w:id="34"/>
      <w:bookmarkEnd w:id="35"/>
    </w:p>
    <w:tbl>
      <w:tblPr>
        <w:tblStyle w:val="TableGrid"/>
        <w:tblW w:w="0" w:type="auto"/>
        <w:tblLook w:val="04A0" w:firstRow="1" w:lastRow="0" w:firstColumn="1" w:lastColumn="0" w:noHBand="0" w:noVBand="1"/>
      </w:tblPr>
      <w:tblGrid>
        <w:gridCol w:w="9346"/>
      </w:tblGrid>
      <w:tr w:rsidR="003C2424" w:rsidRPr="007713C1" w14:paraId="5E8BF66B" w14:textId="77777777" w:rsidTr="003C2424">
        <w:tc>
          <w:tcPr>
            <w:tcW w:w="9496" w:type="dxa"/>
          </w:tcPr>
          <w:p w14:paraId="3EF68FA4" w14:textId="77777777" w:rsidR="00AA6168" w:rsidRDefault="00561FFC" w:rsidP="002C33B3">
            <w:pPr>
              <w:spacing w:before="120" w:after="120"/>
              <w:jc w:val="both"/>
              <w:rPr>
                <w:sz w:val="24"/>
                <w:szCs w:val="24"/>
              </w:rPr>
            </w:pPr>
            <w:r>
              <w:rPr>
                <w:sz w:val="24"/>
                <w:szCs w:val="24"/>
              </w:rPr>
              <w:t>По мярка</w:t>
            </w:r>
            <w:r w:rsidRPr="00561FFC">
              <w:rPr>
                <w:sz w:val="24"/>
                <w:szCs w:val="24"/>
              </w:rPr>
              <w:t xml:space="preserve"> „</w:t>
            </w:r>
            <w:r w:rsidR="002052A9" w:rsidRPr="00281DFE">
              <w:rPr>
                <w:sz w:val="24"/>
                <w:szCs w:val="24"/>
              </w:rPr>
              <w:t>Инвестиции в създаването, подобряването или разширяването на всички видове малка по мащаби инфраструктура</w:t>
            </w:r>
            <w:r w:rsidRPr="00561FFC">
              <w:rPr>
                <w:sz w:val="24"/>
                <w:szCs w:val="24"/>
              </w:rPr>
              <w:t xml:space="preserve">“ </w:t>
            </w:r>
            <w:r w:rsidR="002052A9" w:rsidRPr="002052A9">
              <w:rPr>
                <w:sz w:val="24"/>
                <w:szCs w:val="24"/>
              </w:rPr>
              <w:t>се предоставя финансова помощ за следните</w:t>
            </w:r>
            <w:r w:rsidR="002052A9">
              <w:rPr>
                <w:sz w:val="24"/>
                <w:szCs w:val="24"/>
              </w:rPr>
              <w:t xml:space="preserve"> </w:t>
            </w:r>
            <w:r w:rsidR="002052A9" w:rsidRPr="002052A9">
              <w:rPr>
                <w:sz w:val="24"/>
                <w:szCs w:val="24"/>
              </w:rPr>
              <w:t>допустими за подпомагане дейнос</w:t>
            </w:r>
            <w:r w:rsidR="002052A9">
              <w:rPr>
                <w:sz w:val="24"/>
                <w:szCs w:val="24"/>
              </w:rPr>
              <w:t>ти</w:t>
            </w:r>
            <w:r w:rsidRPr="00561FFC">
              <w:rPr>
                <w:sz w:val="24"/>
                <w:szCs w:val="24"/>
              </w:rPr>
              <w:t>:</w:t>
            </w:r>
          </w:p>
          <w:tbl>
            <w:tblPr>
              <w:tblW w:w="0" w:type="auto"/>
              <w:tblBorders>
                <w:top w:val="nil"/>
                <w:left w:val="nil"/>
                <w:bottom w:val="nil"/>
                <w:right w:val="nil"/>
              </w:tblBorders>
              <w:tblCellMar>
                <w:left w:w="0" w:type="dxa"/>
                <w:right w:w="0" w:type="dxa"/>
              </w:tblCellMar>
              <w:tblLook w:val="0000" w:firstRow="0" w:lastRow="0" w:firstColumn="0" w:lastColumn="0" w:noHBand="0" w:noVBand="0"/>
            </w:tblPr>
            <w:tblGrid>
              <w:gridCol w:w="9044"/>
              <w:gridCol w:w="6"/>
            </w:tblGrid>
            <w:tr w:rsidR="00AA6168" w14:paraId="4283FB16" w14:textId="77777777" w:rsidTr="00A54818">
              <w:trPr>
                <w:trHeight w:val="870"/>
              </w:trPr>
              <w:tc>
                <w:tcPr>
                  <w:tcW w:w="9044" w:type="dxa"/>
                  <w:tcBorders>
                    <w:top w:val="nil"/>
                    <w:left w:val="nil"/>
                    <w:bottom w:val="nil"/>
                    <w:right w:val="nil"/>
                  </w:tcBorders>
                </w:tcPr>
                <w:tbl>
                  <w:tblPr>
                    <w:tblW w:w="0" w:type="auto"/>
                    <w:tblBorders>
                      <w:top w:val="nil"/>
                      <w:left w:val="nil"/>
                      <w:bottom w:val="nil"/>
                      <w:right w:val="nil"/>
                    </w:tblBorders>
                    <w:tblLook w:val="0000" w:firstRow="0" w:lastRow="0" w:firstColumn="0" w:lastColumn="0" w:noHBand="0" w:noVBand="0"/>
                  </w:tblPr>
                  <w:tblGrid>
                    <w:gridCol w:w="9044"/>
                  </w:tblGrid>
                  <w:tr w:rsidR="00CE5FAA" w:rsidRPr="00CE5FAA" w14:paraId="53EE5420" w14:textId="77777777" w:rsidTr="004B1C09">
                    <w:tc>
                      <w:tcPr>
                        <w:tcW w:w="0" w:type="auto"/>
                      </w:tcPr>
                      <w:p w14:paraId="13F1660A" w14:textId="1CD43C76" w:rsidR="00CE5FAA" w:rsidRPr="001C3491" w:rsidRDefault="001C3491" w:rsidP="004C103A">
                        <w:pPr>
                          <w:autoSpaceDE w:val="0"/>
                          <w:autoSpaceDN w:val="0"/>
                          <w:adjustRightInd w:val="0"/>
                          <w:spacing w:after="0" w:line="240" w:lineRule="auto"/>
                          <w:jc w:val="both"/>
                          <w:rPr>
                            <w:rFonts w:ascii="Times New Roman" w:hAnsi="Times New Roman" w:cs="Times New Roman"/>
                            <w:color w:val="000000"/>
                            <w:sz w:val="24"/>
                            <w:szCs w:val="24"/>
                          </w:rPr>
                        </w:pPr>
                        <w:r w:rsidRPr="001C3491">
                          <w:rPr>
                            <w:rFonts w:ascii="Times New Roman" w:hAnsi="Times New Roman" w:cs="Times New Roman"/>
                            <w:color w:val="000000"/>
                            <w:sz w:val="24"/>
                            <w:szCs w:val="24"/>
                          </w:rPr>
                          <w:t xml:space="preserve">• </w:t>
                        </w:r>
                        <w:r w:rsidR="00CE5FAA" w:rsidRPr="001C3491">
                          <w:rPr>
                            <w:rFonts w:ascii="Times New Roman" w:hAnsi="Times New Roman" w:cs="Times New Roman"/>
                            <w:color w:val="000000"/>
                            <w:sz w:val="24"/>
                            <w:szCs w:val="24"/>
                          </w:rPr>
                          <w:t>Строителство, реконструкция и/или рехаб</w:t>
                        </w:r>
                        <w:r w:rsidR="004C103A" w:rsidRPr="001C3491">
                          <w:rPr>
                            <w:rFonts w:ascii="Times New Roman" w:hAnsi="Times New Roman" w:cs="Times New Roman"/>
                            <w:color w:val="000000"/>
                            <w:sz w:val="24"/>
                            <w:szCs w:val="24"/>
                          </w:rPr>
                          <w:t xml:space="preserve">илитация на нови и съществуващи </w:t>
                        </w:r>
                        <w:r w:rsidR="00CE5FAA" w:rsidRPr="001C3491">
                          <w:rPr>
                            <w:rFonts w:ascii="Times New Roman" w:hAnsi="Times New Roman" w:cs="Times New Roman"/>
                            <w:color w:val="000000"/>
                            <w:sz w:val="24"/>
                            <w:szCs w:val="24"/>
                          </w:rPr>
                          <w:t xml:space="preserve">общински пътища, улици, тротоари, и съоръженията и принадлежностите към тях; </w:t>
                        </w:r>
                      </w:p>
                      <w:p w14:paraId="2EE450D8" w14:textId="77777777" w:rsidR="00CE5FAA" w:rsidRPr="001C3491" w:rsidRDefault="00CE5FAA" w:rsidP="0065600C">
                        <w:pPr>
                          <w:autoSpaceDE w:val="0"/>
                          <w:autoSpaceDN w:val="0"/>
                          <w:adjustRightInd w:val="0"/>
                          <w:spacing w:after="0" w:line="240" w:lineRule="auto"/>
                          <w:jc w:val="both"/>
                          <w:rPr>
                            <w:rFonts w:ascii="Times New Roman" w:hAnsi="Times New Roman" w:cs="Times New Roman"/>
                            <w:color w:val="000000"/>
                            <w:sz w:val="24"/>
                            <w:szCs w:val="24"/>
                          </w:rPr>
                        </w:pPr>
                        <w:r w:rsidRPr="001C3491">
                          <w:rPr>
                            <w:rFonts w:ascii="Times New Roman" w:hAnsi="Times New Roman" w:cs="Times New Roman"/>
                            <w:color w:val="000000"/>
                            <w:sz w:val="24"/>
                            <w:szCs w:val="24"/>
                          </w:rPr>
                          <w:t xml:space="preserve">• Изграждане и/или обновяване на площи, за широко обществено ползване, предназначени за трайно задоволяване на обществени потребности от общинско значение; </w:t>
                        </w:r>
                      </w:p>
                      <w:p w14:paraId="07FE45B0" w14:textId="77777777" w:rsidR="00CE5FAA" w:rsidRPr="001C3491" w:rsidRDefault="00CE5FAA" w:rsidP="0065600C">
                        <w:pPr>
                          <w:autoSpaceDE w:val="0"/>
                          <w:autoSpaceDN w:val="0"/>
                          <w:adjustRightInd w:val="0"/>
                          <w:spacing w:after="0" w:line="240" w:lineRule="auto"/>
                          <w:jc w:val="both"/>
                          <w:rPr>
                            <w:rFonts w:ascii="Times New Roman" w:hAnsi="Times New Roman" w:cs="Times New Roman"/>
                            <w:color w:val="000000"/>
                            <w:sz w:val="24"/>
                            <w:szCs w:val="24"/>
                          </w:rPr>
                        </w:pPr>
                        <w:r w:rsidRPr="001C3491">
                          <w:rPr>
                            <w:rFonts w:ascii="Times New Roman" w:hAnsi="Times New Roman" w:cs="Times New Roman"/>
                            <w:color w:val="000000"/>
                            <w:sz w:val="24"/>
                            <w:szCs w:val="24"/>
                          </w:rPr>
                          <w:lastRenderedPageBreak/>
                          <w:t xml:space="preserve">• Изграждане, реконструкция, ремонт, оборудване и/или обзавеждане на социална инфраструктура за предоставяне на услуги, които не са част от процеса на деинституционализация на деца или възрастни, включително транспортни средства; </w:t>
                        </w:r>
                      </w:p>
                      <w:p w14:paraId="40C434E6" w14:textId="77777777" w:rsidR="00CE5FAA" w:rsidRPr="001C3491" w:rsidRDefault="00CE5FAA" w:rsidP="0065600C">
                        <w:pPr>
                          <w:autoSpaceDE w:val="0"/>
                          <w:autoSpaceDN w:val="0"/>
                          <w:adjustRightInd w:val="0"/>
                          <w:spacing w:after="0" w:line="240" w:lineRule="auto"/>
                          <w:jc w:val="both"/>
                          <w:rPr>
                            <w:rFonts w:ascii="Times New Roman" w:hAnsi="Times New Roman" w:cs="Times New Roman"/>
                            <w:color w:val="000000"/>
                            <w:sz w:val="24"/>
                            <w:szCs w:val="24"/>
                          </w:rPr>
                        </w:pPr>
                        <w:r w:rsidRPr="001C3491">
                          <w:rPr>
                            <w:rFonts w:ascii="Times New Roman" w:hAnsi="Times New Roman" w:cs="Times New Roman"/>
                            <w:color w:val="000000"/>
                            <w:sz w:val="24"/>
                            <w:szCs w:val="24"/>
                          </w:rPr>
                          <w:t xml:space="preserve">• Реконструкция и/или ремонт на общински сгради, в които се предоставят обществени услуги, с цел подобряване на тяхната енергийна ефективност; </w:t>
                        </w:r>
                      </w:p>
                      <w:p w14:paraId="422E2BBA" w14:textId="77777777" w:rsidR="00CE5FAA" w:rsidRPr="001C3491" w:rsidRDefault="00CE5FAA" w:rsidP="0065600C">
                        <w:pPr>
                          <w:autoSpaceDE w:val="0"/>
                          <w:autoSpaceDN w:val="0"/>
                          <w:adjustRightInd w:val="0"/>
                          <w:spacing w:after="0" w:line="240" w:lineRule="auto"/>
                          <w:jc w:val="both"/>
                          <w:rPr>
                            <w:rFonts w:ascii="Times New Roman" w:hAnsi="Times New Roman" w:cs="Times New Roman"/>
                            <w:color w:val="000000"/>
                            <w:sz w:val="24"/>
                            <w:szCs w:val="24"/>
                          </w:rPr>
                        </w:pPr>
                        <w:r w:rsidRPr="001C3491">
                          <w:rPr>
                            <w:rFonts w:ascii="Times New Roman" w:hAnsi="Times New Roman" w:cs="Times New Roman"/>
                            <w:color w:val="000000"/>
                            <w:sz w:val="24"/>
                            <w:szCs w:val="24"/>
                          </w:rPr>
                          <w:t xml:space="preserve">• Изграждане, реконструкция, ремонт, оборудване и/или обзавеждане на спортна инфраструктура; </w:t>
                        </w:r>
                      </w:p>
                      <w:p w14:paraId="0050660D" w14:textId="77777777" w:rsidR="00CE5FAA" w:rsidRPr="001C3491" w:rsidRDefault="00CE5FAA" w:rsidP="0065600C">
                        <w:pPr>
                          <w:autoSpaceDE w:val="0"/>
                          <w:autoSpaceDN w:val="0"/>
                          <w:adjustRightInd w:val="0"/>
                          <w:spacing w:after="0" w:line="240" w:lineRule="auto"/>
                          <w:jc w:val="both"/>
                          <w:rPr>
                            <w:rFonts w:ascii="Times New Roman" w:hAnsi="Times New Roman" w:cs="Times New Roman"/>
                            <w:color w:val="000000"/>
                            <w:sz w:val="24"/>
                            <w:szCs w:val="24"/>
                          </w:rPr>
                        </w:pPr>
                        <w:r w:rsidRPr="001C3491">
                          <w:rPr>
                            <w:rFonts w:ascii="Times New Roman" w:hAnsi="Times New Roman" w:cs="Times New Roman"/>
                            <w:color w:val="000000"/>
                            <w:sz w:val="24"/>
                            <w:szCs w:val="24"/>
                          </w:rPr>
                          <w:t xml:space="preserve">• Изграждане, реконструкция, ремонт, реставрация, закупуване на оборудване и/или обзавеждане на обекти, свързани с културния живот, вкл. мобилни такива, вкл. и дейности по вертикалната планировка и подобряване на прилежащите пространства; </w:t>
                        </w:r>
                      </w:p>
                      <w:p w14:paraId="0F06CD90" w14:textId="77777777" w:rsidR="004B1C09" w:rsidRDefault="00CE5FAA" w:rsidP="002953B4">
                        <w:pPr>
                          <w:autoSpaceDE w:val="0"/>
                          <w:autoSpaceDN w:val="0"/>
                          <w:adjustRightInd w:val="0"/>
                          <w:spacing w:after="0" w:line="240" w:lineRule="auto"/>
                          <w:jc w:val="both"/>
                          <w:rPr>
                            <w:rFonts w:ascii="Times New Roman" w:hAnsi="Times New Roman" w:cs="Times New Roman"/>
                            <w:color w:val="000000"/>
                            <w:sz w:val="24"/>
                            <w:szCs w:val="24"/>
                          </w:rPr>
                        </w:pPr>
                        <w:r w:rsidRPr="001C3491">
                          <w:rPr>
                            <w:rFonts w:ascii="Times New Roman" w:hAnsi="Times New Roman" w:cs="Times New Roman"/>
                            <w:color w:val="000000"/>
                            <w:sz w:val="24"/>
                            <w:szCs w:val="24"/>
                          </w:rPr>
                          <w:t>• Реконструкция, ремонт, оборудване и/или обзавеждане на общинска образователна инфраструктура с местно значение в селските райони.</w:t>
                        </w:r>
                      </w:p>
                      <w:p w14:paraId="7D6983B3" w14:textId="6DF54D6A" w:rsidR="00220327" w:rsidRPr="005310C3" w:rsidRDefault="00220327" w:rsidP="002953B4">
                        <w:pPr>
                          <w:autoSpaceDE w:val="0"/>
                          <w:autoSpaceDN w:val="0"/>
                          <w:adjustRightInd w:val="0"/>
                          <w:spacing w:after="0" w:line="240" w:lineRule="auto"/>
                          <w:jc w:val="both"/>
                          <w:rPr>
                            <w:rFonts w:ascii="Times New Roman" w:hAnsi="Times New Roman" w:cs="Times New Roman"/>
                            <w:sz w:val="24"/>
                            <w:szCs w:val="24"/>
                            <w:lang w:val="en-US"/>
                          </w:rPr>
                        </w:pPr>
                      </w:p>
                    </w:tc>
                  </w:tr>
                </w:tbl>
                <w:p w14:paraId="791E3141" w14:textId="77777777" w:rsidR="00AA6168" w:rsidRPr="004C103A" w:rsidRDefault="00AA6168" w:rsidP="00AA6168">
                  <w:pPr>
                    <w:pStyle w:val="Default"/>
                  </w:pPr>
                </w:p>
              </w:tc>
              <w:tc>
                <w:tcPr>
                  <w:tcW w:w="0" w:type="auto"/>
                </w:tcPr>
                <w:p w14:paraId="16547E75" w14:textId="77777777" w:rsidR="00AA6168" w:rsidRDefault="00AA6168">
                  <w:r>
                    <w:rPr>
                      <w:sz w:val="17"/>
                      <w:szCs w:val="17"/>
                    </w:rPr>
                    <w:lastRenderedPageBreak/>
                    <w:t xml:space="preserve"> </w:t>
                  </w:r>
                </w:p>
              </w:tc>
            </w:tr>
          </w:tbl>
          <w:p w14:paraId="19C96748" w14:textId="1FCF829B" w:rsidR="00A14B1A" w:rsidRPr="008A0E1A" w:rsidRDefault="00A14B1A" w:rsidP="001B3EA6">
            <w:pPr>
              <w:autoSpaceDE w:val="0"/>
              <w:autoSpaceDN w:val="0"/>
              <w:adjustRightInd w:val="0"/>
              <w:spacing w:before="120"/>
              <w:jc w:val="both"/>
              <w:rPr>
                <w:sz w:val="24"/>
                <w:szCs w:val="24"/>
              </w:rPr>
            </w:pPr>
          </w:p>
        </w:tc>
      </w:tr>
    </w:tbl>
    <w:p w14:paraId="79F3DA19" w14:textId="77777777" w:rsidR="0085404A" w:rsidRPr="0085404A" w:rsidRDefault="0085404A" w:rsidP="0085404A">
      <w:bookmarkStart w:id="36" w:name="_Toc445385591"/>
    </w:p>
    <w:p w14:paraId="367CC9CD" w14:textId="7934AF55" w:rsidR="0085404A" w:rsidRDefault="0085404A" w:rsidP="00327E37">
      <w:pPr>
        <w:pStyle w:val="Heading2"/>
      </w:pPr>
      <w:bookmarkStart w:id="37" w:name="_Toc534292212"/>
      <w:r>
        <w:t>13.2. Условия за допустимост на дейностите:</w:t>
      </w:r>
      <w:bookmarkEnd w:id="37"/>
    </w:p>
    <w:p w14:paraId="6C568B65" w14:textId="5F3E6EFC" w:rsidR="0085404A" w:rsidRPr="00857485" w:rsidRDefault="0085404A" w:rsidP="0085404A">
      <w:pPr>
        <w:pBdr>
          <w:top w:val="single" w:sz="4" w:space="1" w:color="auto"/>
          <w:left w:val="single" w:sz="4" w:space="1" w:color="auto"/>
          <w:bottom w:val="single" w:sz="4" w:space="1" w:color="auto"/>
          <w:right w:val="single" w:sz="4" w:space="1" w:color="auto"/>
        </w:pBdr>
        <w:jc w:val="both"/>
        <w:rPr>
          <w:rFonts w:ascii="Times New Roman" w:hAnsi="Times New Roman" w:cs="Times New Roman"/>
          <w:b/>
          <w:sz w:val="24"/>
          <w:szCs w:val="24"/>
        </w:rPr>
      </w:pPr>
      <w:r w:rsidRPr="00857485">
        <w:rPr>
          <w:rFonts w:ascii="Times New Roman" w:hAnsi="Times New Roman" w:cs="Times New Roman"/>
          <w:b/>
          <w:sz w:val="24"/>
          <w:szCs w:val="24"/>
        </w:rPr>
        <w:t>I. Общи изисквания:</w:t>
      </w:r>
    </w:p>
    <w:p w14:paraId="663A1743" w14:textId="7ADA2DD4" w:rsidR="00857485" w:rsidRDefault="0085404A" w:rsidP="0085404A">
      <w:pPr>
        <w:pBdr>
          <w:top w:val="single" w:sz="4" w:space="1" w:color="auto"/>
          <w:left w:val="single" w:sz="4" w:space="1" w:color="auto"/>
          <w:bottom w:val="single" w:sz="4" w:space="1" w:color="auto"/>
          <w:right w:val="single" w:sz="4" w:space="1" w:color="auto"/>
        </w:pBdr>
        <w:jc w:val="both"/>
        <w:rPr>
          <w:rFonts w:ascii="Times New Roman" w:hAnsi="Times New Roman" w:cs="Times New Roman"/>
          <w:sz w:val="24"/>
          <w:szCs w:val="24"/>
        </w:rPr>
      </w:pPr>
      <w:r w:rsidRPr="0085404A">
        <w:rPr>
          <w:rFonts w:ascii="Times New Roman" w:hAnsi="Times New Roman" w:cs="Times New Roman"/>
          <w:sz w:val="24"/>
          <w:szCs w:val="24"/>
        </w:rPr>
        <w:t xml:space="preserve">1.Подпомагат се проекти, за които </w:t>
      </w:r>
      <w:r w:rsidR="00857485">
        <w:rPr>
          <w:rFonts w:ascii="Times New Roman" w:hAnsi="Times New Roman" w:cs="Times New Roman"/>
          <w:sz w:val="24"/>
          <w:szCs w:val="24"/>
        </w:rPr>
        <w:t xml:space="preserve">е наличен един от следните документи: </w:t>
      </w:r>
      <w:r w:rsidR="00857485" w:rsidRPr="00857485">
        <w:rPr>
          <w:rFonts w:ascii="Times New Roman" w:hAnsi="Times New Roman" w:cs="Times New Roman"/>
          <w:sz w:val="24"/>
          <w:szCs w:val="24"/>
        </w:rPr>
        <w:t>Решение за преценяване на необходимостта от извършване на оценка на въздействието върху околната среда/решение по оценка на въздействие върху околната среда/решение за преценяване на необходимостта от извършване на екологична оценка/становище по екологична оценка/решение за преценка на вероятната степен на значително отрицателно въздействие/решение по оценка за съвместимостта/писмо/ разрешително от компетентния орган по околна среда (Регионална инспекция по околната среда и водите/Министерство на околната среда и водите/Басейнова дирекция), издадени по реда на Закона за опазване на околната среда, Закона за биологичното разнообразие и/или Закона за водите (когато е приложимо</w:t>
      </w:r>
      <w:r w:rsidR="00857485">
        <w:rPr>
          <w:rFonts w:ascii="Times New Roman" w:hAnsi="Times New Roman" w:cs="Times New Roman"/>
          <w:sz w:val="24"/>
          <w:szCs w:val="24"/>
        </w:rPr>
        <w:t>);</w:t>
      </w:r>
    </w:p>
    <w:p w14:paraId="04A1BFCC" w14:textId="109EDFF4" w:rsidR="0085404A" w:rsidRPr="0085404A" w:rsidRDefault="00D140B2" w:rsidP="0085404A">
      <w:pPr>
        <w:pBdr>
          <w:top w:val="single" w:sz="4" w:space="1" w:color="auto"/>
          <w:left w:val="single" w:sz="4" w:space="1" w:color="auto"/>
          <w:bottom w:val="single" w:sz="4" w:space="1" w:color="auto"/>
          <w:right w:val="single" w:sz="4" w:space="1" w:color="auto"/>
        </w:pBdr>
        <w:jc w:val="both"/>
        <w:rPr>
          <w:rFonts w:ascii="Times New Roman" w:hAnsi="Times New Roman" w:cs="Times New Roman"/>
          <w:sz w:val="24"/>
          <w:szCs w:val="24"/>
        </w:rPr>
      </w:pPr>
      <w:r>
        <w:rPr>
          <w:rFonts w:ascii="Times New Roman" w:hAnsi="Times New Roman" w:cs="Times New Roman"/>
          <w:sz w:val="24"/>
          <w:szCs w:val="24"/>
        </w:rPr>
        <w:t>2</w:t>
      </w:r>
      <w:r w:rsidR="0085404A" w:rsidRPr="0085404A">
        <w:rPr>
          <w:rFonts w:ascii="Times New Roman" w:hAnsi="Times New Roman" w:cs="Times New Roman"/>
          <w:sz w:val="24"/>
          <w:szCs w:val="24"/>
        </w:rPr>
        <w:t>. Проектите се изпълняват върху имот – собственост на кандидата, а когато имотът не е собственост на кандидата, към проектите се прилагат документи за:</w:t>
      </w:r>
    </w:p>
    <w:p w14:paraId="4C47AD3B" w14:textId="038C05CB" w:rsidR="0085404A" w:rsidRPr="0085404A" w:rsidRDefault="00D140B2" w:rsidP="0085404A">
      <w:pPr>
        <w:pBdr>
          <w:top w:val="single" w:sz="4" w:space="1" w:color="auto"/>
          <w:left w:val="single" w:sz="4" w:space="1" w:color="auto"/>
          <w:bottom w:val="single" w:sz="4" w:space="1" w:color="auto"/>
          <w:right w:val="single" w:sz="4" w:space="1" w:color="auto"/>
        </w:pBdr>
        <w:jc w:val="both"/>
        <w:rPr>
          <w:rFonts w:ascii="Times New Roman" w:hAnsi="Times New Roman" w:cs="Times New Roman"/>
          <w:sz w:val="24"/>
          <w:szCs w:val="24"/>
        </w:rPr>
      </w:pPr>
      <w:r>
        <w:rPr>
          <w:rFonts w:ascii="Times New Roman" w:hAnsi="Times New Roman" w:cs="Times New Roman"/>
          <w:sz w:val="24"/>
          <w:szCs w:val="24"/>
        </w:rPr>
        <w:t>2</w:t>
      </w:r>
      <w:r w:rsidR="0085404A" w:rsidRPr="0085404A">
        <w:rPr>
          <w:rFonts w:ascii="Times New Roman" w:hAnsi="Times New Roman" w:cs="Times New Roman"/>
          <w:sz w:val="24"/>
          <w:szCs w:val="24"/>
        </w:rPr>
        <w:t>.1. учредено право на строеж върху имота за срок не по-малък от 6 години, считано от датата на подаване на проектното предложение към стратегията за ВОМР (когато е учредено срочно право на строеж)</w:t>
      </w:r>
    </w:p>
    <w:p w14:paraId="74CD8C25" w14:textId="40F54F2B" w:rsidR="0085404A" w:rsidRPr="0085404A" w:rsidRDefault="00D140B2" w:rsidP="0085404A">
      <w:pPr>
        <w:pBdr>
          <w:top w:val="single" w:sz="4" w:space="1" w:color="auto"/>
          <w:left w:val="single" w:sz="4" w:space="1" w:color="auto"/>
          <w:bottom w:val="single" w:sz="4" w:space="1" w:color="auto"/>
          <w:right w:val="single" w:sz="4" w:space="1" w:color="auto"/>
        </w:pBdr>
        <w:jc w:val="both"/>
        <w:rPr>
          <w:rFonts w:ascii="Times New Roman" w:hAnsi="Times New Roman" w:cs="Times New Roman"/>
          <w:sz w:val="24"/>
          <w:szCs w:val="24"/>
        </w:rPr>
      </w:pPr>
      <w:r>
        <w:rPr>
          <w:rFonts w:ascii="Times New Roman" w:hAnsi="Times New Roman" w:cs="Times New Roman"/>
          <w:sz w:val="24"/>
          <w:szCs w:val="24"/>
        </w:rPr>
        <w:t>2</w:t>
      </w:r>
      <w:r w:rsidR="0085404A" w:rsidRPr="0085404A">
        <w:rPr>
          <w:rFonts w:ascii="Times New Roman" w:hAnsi="Times New Roman" w:cs="Times New Roman"/>
          <w:sz w:val="24"/>
          <w:szCs w:val="24"/>
        </w:rPr>
        <w:t xml:space="preserve">.2. ползване върху имота, валиден за срок не по-малък от 6 години, считано от датата на подаване на проектното предложение към стратегията за ВОМР, вписан в районната служба по вписванията, а в случай на договор за аренда на земя - и регистриран в съответната общинска служба по земеделие на Министерството на земеделието, храните и горите, в </w:t>
      </w:r>
      <w:r w:rsidR="0085404A" w:rsidRPr="0085404A">
        <w:rPr>
          <w:rFonts w:ascii="Times New Roman" w:hAnsi="Times New Roman" w:cs="Times New Roman"/>
          <w:sz w:val="24"/>
          <w:szCs w:val="24"/>
        </w:rPr>
        <w:lastRenderedPageBreak/>
        <w:t>случаите на обновяване на сгради и/или помещения, за които не се изисква издаване на разрешение за строеж, съгласно Закона за устройство на територият</w:t>
      </w:r>
      <w:r w:rsidR="0085404A">
        <w:rPr>
          <w:rFonts w:ascii="Times New Roman" w:hAnsi="Times New Roman" w:cs="Times New Roman"/>
          <w:sz w:val="24"/>
          <w:szCs w:val="24"/>
        </w:rPr>
        <w:t>а.</w:t>
      </w:r>
    </w:p>
    <w:p w14:paraId="1766232E" w14:textId="3BDB4C4A" w:rsidR="0085404A" w:rsidRPr="00857485" w:rsidRDefault="004B06F5" w:rsidP="0085404A">
      <w:pPr>
        <w:pBdr>
          <w:top w:val="single" w:sz="4" w:space="1" w:color="auto"/>
          <w:left w:val="single" w:sz="4" w:space="1" w:color="auto"/>
          <w:bottom w:val="single" w:sz="4" w:space="1" w:color="auto"/>
          <w:right w:val="single" w:sz="4" w:space="1" w:color="auto"/>
        </w:pBdr>
        <w:jc w:val="both"/>
        <w:rPr>
          <w:rFonts w:ascii="Times New Roman" w:hAnsi="Times New Roman" w:cs="Times New Roman"/>
          <w:b/>
          <w:sz w:val="24"/>
          <w:szCs w:val="24"/>
        </w:rPr>
      </w:pPr>
      <w:r>
        <w:rPr>
          <w:rFonts w:ascii="Times New Roman" w:hAnsi="Times New Roman" w:cs="Times New Roman"/>
          <w:b/>
          <w:sz w:val="24"/>
          <w:szCs w:val="24"/>
          <w:lang w:val="en-US"/>
        </w:rPr>
        <w:t>II</w:t>
      </w:r>
      <w:r w:rsidR="0085404A" w:rsidRPr="00857485">
        <w:rPr>
          <w:rFonts w:ascii="Times New Roman" w:hAnsi="Times New Roman" w:cs="Times New Roman"/>
          <w:b/>
          <w:sz w:val="24"/>
          <w:szCs w:val="24"/>
        </w:rPr>
        <w:t>. Към проектите, включващи разходи за строително-монтажни работи, се прилагат:</w:t>
      </w:r>
    </w:p>
    <w:p w14:paraId="1D4DD5F9" w14:textId="77777777" w:rsidR="00857485" w:rsidRDefault="0085404A" w:rsidP="00857485">
      <w:pPr>
        <w:pBdr>
          <w:top w:val="single" w:sz="4" w:space="1" w:color="auto"/>
          <w:left w:val="single" w:sz="4" w:space="1" w:color="auto"/>
          <w:bottom w:val="single" w:sz="4" w:space="1" w:color="auto"/>
          <w:right w:val="single" w:sz="4" w:space="1" w:color="auto"/>
        </w:pBdr>
        <w:jc w:val="both"/>
        <w:rPr>
          <w:rFonts w:ascii="Times New Roman" w:hAnsi="Times New Roman" w:cs="Times New Roman"/>
          <w:sz w:val="24"/>
          <w:szCs w:val="24"/>
        </w:rPr>
      </w:pPr>
      <w:r w:rsidRPr="0085404A">
        <w:rPr>
          <w:rFonts w:ascii="Times New Roman" w:hAnsi="Times New Roman" w:cs="Times New Roman"/>
          <w:sz w:val="24"/>
          <w:szCs w:val="24"/>
        </w:rPr>
        <w:t xml:space="preserve">а) </w:t>
      </w:r>
      <w:r w:rsidR="00857485" w:rsidRPr="00857485">
        <w:rPr>
          <w:rFonts w:ascii="Times New Roman" w:hAnsi="Times New Roman" w:cs="Times New Roman"/>
          <w:sz w:val="24"/>
          <w:szCs w:val="24"/>
        </w:rPr>
        <w:t xml:space="preserve">Одобрен инвестиционен проект, изработен във фаза „Технически проект" или „Работен проект (работни чертежи и детайли)", в съответствие с изискванията на Закона за устройство на територията и Наредба № 4 от 2001 г. за обхвата и съдържанието на инвестиционните проекти (ДВ, бр. 51 от 2001 г.) или заснемане на обекта/съоръжението и/или архитектурен план на сградата, съоръжението, обекта, който ще се изгражда, ремонтира или обновява, в случаите на проекти, включващи разходи за строително-монтажни работи и когато за предвидените строително-монтажни работи не се изисква одобрен инвестиционен проект съгласно Закона за устройство на територията; </w:t>
      </w:r>
    </w:p>
    <w:p w14:paraId="480D38AC" w14:textId="0EBAFEC2" w:rsidR="0085404A" w:rsidRPr="0085404A" w:rsidRDefault="00857485" w:rsidP="00857485">
      <w:pPr>
        <w:pBdr>
          <w:top w:val="single" w:sz="4" w:space="1" w:color="auto"/>
          <w:left w:val="single" w:sz="4" w:space="1" w:color="auto"/>
          <w:bottom w:val="single" w:sz="4" w:space="1" w:color="auto"/>
          <w:right w:val="single" w:sz="4" w:space="1" w:color="auto"/>
        </w:pBdr>
        <w:jc w:val="both"/>
        <w:rPr>
          <w:rFonts w:ascii="Times New Roman" w:hAnsi="Times New Roman" w:cs="Times New Roman"/>
          <w:sz w:val="24"/>
          <w:szCs w:val="24"/>
        </w:rPr>
      </w:pPr>
      <w:r>
        <w:rPr>
          <w:rFonts w:ascii="Times New Roman" w:hAnsi="Times New Roman" w:cs="Times New Roman"/>
          <w:sz w:val="24"/>
          <w:szCs w:val="24"/>
        </w:rPr>
        <w:t>б</w:t>
      </w:r>
      <w:r w:rsidR="0085404A" w:rsidRPr="0085404A">
        <w:rPr>
          <w:rFonts w:ascii="Times New Roman" w:hAnsi="Times New Roman" w:cs="Times New Roman"/>
          <w:sz w:val="24"/>
          <w:szCs w:val="24"/>
        </w:rPr>
        <w:t>) подробни количествени сметки, които са заверени от правоспособно лице;</w:t>
      </w:r>
    </w:p>
    <w:p w14:paraId="3E440450" w14:textId="6122FDF1" w:rsidR="0085404A" w:rsidRPr="0085404A" w:rsidRDefault="0085404A" w:rsidP="0085404A">
      <w:pPr>
        <w:pBdr>
          <w:top w:val="single" w:sz="4" w:space="1" w:color="auto"/>
          <w:left w:val="single" w:sz="4" w:space="1" w:color="auto"/>
          <w:bottom w:val="single" w:sz="4" w:space="1" w:color="auto"/>
          <w:right w:val="single" w:sz="4" w:space="1" w:color="auto"/>
        </w:pBdr>
        <w:jc w:val="both"/>
        <w:rPr>
          <w:rFonts w:ascii="Times New Roman" w:hAnsi="Times New Roman" w:cs="Times New Roman"/>
          <w:sz w:val="24"/>
          <w:szCs w:val="24"/>
        </w:rPr>
      </w:pPr>
      <w:r w:rsidRPr="0085404A">
        <w:rPr>
          <w:rFonts w:ascii="Times New Roman" w:hAnsi="Times New Roman" w:cs="Times New Roman"/>
          <w:sz w:val="24"/>
          <w:szCs w:val="24"/>
        </w:rPr>
        <w:t xml:space="preserve">г) </w:t>
      </w:r>
      <w:r w:rsidR="00857485" w:rsidRPr="00857485">
        <w:rPr>
          <w:rFonts w:ascii="Times New Roman" w:hAnsi="Times New Roman" w:cs="Times New Roman"/>
          <w:sz w:val="24"/>
          <w:szCs w:val="24"/>
        </w:rPr>
        <w:t>Разрешение за строеж, когато издаването му се изисква съгласно Закона за устройство на територията, или становище на главния архитект, че строежът не се нуждае от издаване на разрешение за строеж, когато издаването му не се изисква съгласно Закона за устройство на територията</w:t>
      </w:r>
    </w:p>
    <w:p w14:paraId="3876FB8C" w14:textId="27FDAA75" w:rsidR="0085404A" w:rsidRPr="0085404A" w:rsidRDefault="0085404A" w:rsidP="0085404A">
      <w:pPr>
        <w:pBdr>
          <w:top w:val="single" w:sz="4" w:space="1" w:color="auto"/>
          <w:left w:val="single" w:sz="4" w:space="1" w:color="auto"/>
          <w:bottom w:val="single" w:sz="4" w:space="1" w:color="auto"/>
          <w:right w:val="single" w:sz="4" w:space="1" w:color="auto"/>
        </w:pBdr>
        <w:jc w:val="both"/>
        <w:rPr>
          <w:rFonts w:ascii="Times New Roman" w:hAnsi="Times New Roman" w:cs="Times New Roman"/>
          <w:sz w:val="24"/>
          <w:szCs w:val="24"/>
        </w:rPr>
      </w:pPr>
      <w:r w:rsidRPr="0085404A">
        <w:rPr>
          <w:rFonts w:ascii="Times New Roman" w:hAnsi="Times New Roman" w:cs="Times New Roman"/>
          <w:sz w:val="24"/>
          <w:szCs w:val="24"/>
        </w:rPr>
        <w:t xml:space="preserve">е) </w:t>
      </w:r>
      <w:r w:rsidR="00857485" w:rsidRPr="00857485">
        <w:rPr>
          <w:rFonts w:ascii="Times New Roman" w:hAnsi="Times New Roman" w:cs="Times New Roman"/>
          <w:sz w:val="24"/>
          <w:szCs w:val="24"/>
        </w:rPr>
        <w:t>Разрешение за поставяне, издадено в съответствие със ЗУТ (важи, в случай че проектът включва разходи за преместваеми обекти и елементи на градското обзавеждане)</w:t>
      </w:r>
    </w:p>
    <w:p w14:paraId="479D0DAA" w14:textId="77777777" w:rsidR="0085404A" w:rsidRPr="0085404A" w:rsidRDefault="0085404A" w:rsidP="0085404A">
      <w:pPr>
        <w:pBdr>
          <w:top w:val="single" w:sz="4" w:space="1" w:color="auto"/>
          <w:left w:val="single" w:sz="4" w:space="1" w:color="auto"/>
          <w:bottom w:val="single" w:sz="4" w:space="1" w:color="auto"/>
          <w:right w:val="single" w:sz="4" w:space="1" w:color="auto"/>
        </w:pBdr>
        <w:jc w:val="both"/>
        <w:rPr>
          <w:rFonts w:ascii="Times New Roman" w:hAnsi="Times New Roman" w:cs="Times New Roman"/>
          <w:sz w:val="24"/>
          <w:szCs w:val="24"/>
        </w:rPr>
      </w:pPr>
      <w:r w:rsidRPr="0085404A">
        <w:rPr>
          <w:rFonts w:ascii="Times New Roman" w:hAnsi="Times New Roman" w:cs="Times New Roman"/>
          <w:sz w:val="24"/>
          <w:szCs w:val="24"/>
        </w:rPr>
        <w:t>5. Проектите, които включват разходи за преместваеми обекти и елементи на градското обзавеждане, се придружават с разрешение за поставяне, издадено в съответствие със ЗУТ.</w:t>
      </w:r>
    </w:p>
    <w:p w14:paraId="6F220A7F" w14:textId="1932F8FD" w:rsidR="0085404A" w:rsidRPr="00FE48CF" w:rsidRDefault="004B06F5" w:rsidP="0085404A">
      <w:pPr>
        <w:pBdr>
          <w:top w:val="single" w:sz="4" w:space="1" w:color="auto"/>
          <w:left w:val="single" w:sz="4" w:space="1" w:color="auto"/>
          <w:bottom w:val="single" w:sz="4" w:space="1" w:color="auto"/>
          <w:right w:val="single" w:sz="4" w:space="1" w:color="auto"/>
        </w:pBdr>
        <w:jc w:val="both"/>
        <w:rPr>
          <w:rFonts w:ascii="Times New Roman" w:hAnsi="Times New Roman" w:cs="Times New Roman"/>
          <w:b/>
          <w:sz w:val="24"/>
          <w:szCs w:val="24"/>
        </w:rPr>
      </w:pPr>
      <w:r>
        <w:rPr>
          <w:rFonts w:ascii="Times New Roman" w:hAnsi="Times New Roman" w:cs="Times New Roman"/>
          <w:b/>
          <w:sz w:val="24"/>
          <w:szCs w:val="24"/>
        </w:rPr>
        <w:t>III</w:t>
      </w:r>
      <w:r w:rsidR="0085404A" w:rsidRPr="00FE48CF">
        <w:rPr>
          <w:rFonts w:ascii="Times New Roman" w:hAnsi="Times New Roman" w:cs="Times New Roman"/>
          <w:b/>
          <w:sz w:val="24"/>
          <w:szCs w:val="24"/>
        </w:rPr>
        <w:t>. Към проектите, включващи разходи за строително-монтажни работи, когато обектите са недвижими културни ценности, се прилагат</w:t>
      </w:r>
      <w:r w:rsidR="00857485" w:rsidRPr="00FE48CF">
        <w:rPr>
          <w:rFonts w:ascii="Times New Roman" w:hAnsi="Times New Roman" w:cs="Times New Roman"/>
          <w:b/>
          <w:sz w:val="24"/>
          <w:szCs w:val="24"/>
        </w:rPr>
        <w:t xml:space="preserve"> и </w:t>
      </w:r>
      <w:r w:rsidR="0085404A" w:rsidRPr="00FE48CF">
        <w:rPr>
          <w:rFonts w:ascii="Times New Roman" w:hAnsi="Times New Roman" w:cs="Times New Roman"/>
          <w:b/>
          <w:sz w:val="24"/>
          <w:szCs w:val="24"/>
        </w:rPr>
        <w:t>:</w:t>
      </w:r>
    </w:p>
    <w:p w14:paraId="29C4E218" w14:textId="77298F10" w:rsidR="00FE48CF" w:rsidRPr="0085404A" w:rsidRDefault="00FE48CF" w:rsidP="00FE48CF">
      <w:pPr>
        <w:pBdr>
          <w:top w:val="single" w:sz="4" w:space="1" w:color="auto"/>
          <w:left w:val="single" w:sz="4" w:space="1" w:color="auto"/>
          <w:bottom w:val="single" w:sz="4" w:space="1" w:color="auto"/>
          <w:right w:val="single" w:sz="4" w:space="1" w:color="auto"/>
        </w:pBdr>
        <w:jc w:val="both"/>
        <w:rPr>
          <w:rFonts w:ascii="Times New Roman" w:hAnsi="Times New Roman" w:cs="Times New Roman"/>
          <w:sz w:val="24"/>
          <w:szCs w:val="24"/>
        </w:rPr>
      </w:pPr>
      <w:r w:rsidRPr="0085404A">
        <w:rPr>
          <w:rFonts w:ascii="Times New Roman" w:hAnsi="Times New Roman" w:cs="Times New Roman"/>
          <w:sz w:val="24"/>
          <w:szCs w:val="24"/>
        </w:rPr>
        <w:t>Инвестиционните проекти, които включват обекти недвижими културни ценности, се съгласуват с Министерство</w:t>
      </w:r>
      <w:r w:rsidR="000463FB">
        <w:rPr>
          <w:rFonts w:ascii="Times New Roman" w:hAnsi="Times New Roman" w:cs="Times New Roman"/>
          <w:sz w:val="24"/>
          <w:szCs w:val="24"/>
        </w:rPr>
        <w:t xml:space="preserve">то на културата </w:t>
      </w:r>
      <w:r w:rsidR="000463FB" w:rsidRPr="000463FB">
        <w:rPr>
          <w:rFonts w:ascii="Times New Roman" w:hAnsi="Times New Roman" w:cs="Times New Roman"/>
          <w:sz w:val="24"/>
          <w:szCs w:val="24"/>
        </w:rPr>
        <w:t>по реда на Закона за културното наследство.</w:t>
      </w:r>
    </w:p>
    <w:p w14:paraId="4D76FCA7" w14:textId="77777777" w:rsidR="0085404A" w:rsidRPr="0085404A" w:rsidRDefault="0085404A" w:rsidP="0085404A">
      <w:pPr>
        <w:pBdr>
          <w:top w:val="single" w:sz="4" w:space="1" w:color="auto"/>
          <w:left w:val="single" w:sz="4" w:space="1" w:color="auto"/>
          <w:bottom w:val="single" w:sz="4" w:space="1" w:color="auto"/>
          <w:right w:val="single" w:sz="4" w:space="1" w:color="auto"/>
        </w:pBdr>
        <w:jc w:val="both"/>
        <w:rPr>
          <w:rFonts w:ascii="Times New Roman" w:hAnsi="Times New Roman" w:cs="Times New Roman"/>
          <w:sz w:val="24"/>
          <w:szCs w:val="24"/>
        </w:rPr>
      </w:pPr>
      <w:r w:rsidRPr="0085404A">
        <w:rPr>
          <w:rFonts w:ascii="Times New Roman" w:hAnsi="Times New Roman" w:cs="Times New Roman"/>
          <w:sz w:val="24"/>
          <w:szCs w:val="24"/>
        </w:rPr>
        <w:t>в) становище и заверка с печат от Министерството на културата върху графичните материали на проектната документация, изготвена по реда на глава двадесет и трета от Наредба № 4 от 2001 г. за обхвата и съдържанието на инвестиционните проекти (ДВ, бр. 51 от 2001 г.);</w:t>
      </w:r>
    </w:p>
    <w:p w14:paraId="16FB8961" w14:textId="77777777" w:rsidR="00FE48CF" w:rsidRDefault="0085404A" w:rsidP="0085404A">
      <w:pPr>
        <w:pBdr>
          <w:top w:val="single" w:sz="4" w:space="1" w:color="auto"/>
          <w:left w:val="single" w:sz="4" w:space="1" w:color="auto"/>
          <w:bottom w:val="single" w:sz="4" w:space="1" w:color="auto"/>
          <w:right w:val="single" w:sz="4" w:space="1" w:color="auto"/>
        </w:pBdr>
        <w:jc w:val="both"/>
        <w:rPr>
          <w:rFonts w:ascii="Times New Roman" w:hAnsi="Times New Roman" w:cs="Times New Roman"/>
          <w:sz w:val="24"/>
          <w:szCs w:val="24"/>
        </w:rPr>
      </w:pPr>
      <w:r w:rsidRPr="0085404A">
        <w:rPr>
          <w:rFonts w:ascii="Times New Roman" w:hAnsi="Times New Roman" w:cs="Times New Roman"/>
          <w:sz w:val="24"/>
          <w:szCs w:val="24"/>
        </w:rPr>
        <w:t xml:space="preserve">г) </w:t>
      </w:r>
      <w:r w:rsidR="00FE48CF" w:rsidRPr="00FE48CF">
        <w:rPr>
          <w:rFonts w:ascii="Times New Roman" w:hAnsi="Times New Roman" w:cs="Times New Roman"/>
          <w:sz w:val="24"/>
          <w:szCs w:val="24"/>
        </w:rPr>
        <w:t>Удостоверение от Националния институт за недвижимо културно наследство за статута на обекта като недвижима културна ценност</w:t>
      </w:r>
    </w:p>
    <w:p w14:paraId="31AF242E" w14:textId="5386B66F" w:rsidR="00FE48CF" w:rsidRPr="00FE48CF" w:rsidRDefault="004B06F5" w:rsidP="00FE48CF">
      <w:pPr>
        <w:pBdr>
          <w:top w:val="single" w:sz="4" w:space="1" w:color="auto"/>
          <w:left w:val="single" w:sz="4" w:space="1" w:color="auto"/>
          <w:bottom w:val="single" w:sz="4" w:space="1" w:color="auto"/>
          <w:right w:val="single" w:sz="4" w:space="1" w:color="auto"/>
        </w:pBdr>
        <w:jc w:val="both"/>
        <w:rPr>
          <w:rFonts w:ascii="Times New Roman" w:hAnsi="Times New Roman" w:cs="Times New Roman"/>
          <w:b/>
          <w:sz w:val="24"/>
          <w:szCs w:val="24"/>
        </w:rPr>
      </w:pPr>
      <w:r>
        <w:rPr>
          <w:rFonts w:ascii="Times New Roman" w:hAnsi="Times New Roman" w:cs="Times New Roman"/>
          <w:b/>
          <w:sz w:val="24"/>
          <w:szCs w:val="24"/>
          <w:lang w:val="en-US"/>
        </w:rPr>
        <w:lastRenderedPageBreak/>
        <w:t xml:space="preserve">IV. </w:t>
      </w:r>
      <w:r w:rsidR="00FE48CF">
        <w:rPr>
          <w:rFonts w:ascii="Times New Roman" w:hAnsi="Times New Roman" w:cs="Times New Roman"/>
          <w:b/>
          <w:sz w:val="24"/>
          <w:szCs w:val="24"/>
        </w:rPr>
        <w:t>За дейност</w:t>
      </w:r>
      <w:r w:rsidR="00FE48CF" w:rsidRPr="00FE48CF">
        <w:rPr>
          <w:rFonts w:ascii="Times New Roman" w:hAnsi="Times New Roman" w:cs="Times New Roman"/>
          <w:b/>
          <w:sz w:val="24"/>
          <w:szCs w:val="24"/>
        </w:rPr>
        <w:t xml:space="preserve"> строителство, реконструкция и/или рехабилитация на нови и съществуващи улици и тротоари и съоръжени</w:t>
      </w:r>
      <w:r w:rsidR="00FE48CF">
        <w:rPr>
          <w:rFonts w:ascii="Times New Roman" w:hAnsi="Times New Roman" w:cs="Times New Roman"/>
          <w:b/>
          <w:sz w:val="24"/>
          <w:szCs w:val="24"/>
        </w:rPr>
        <w:t>ята и принадлежностите към тях:</w:t>
      </w:r>
    </w:p>
    <w:p w14:paraId="66E48662" w14:textId="411FF069" w:rsidR="00FE48CF" w:rsidRDefault="00FE48CF" w:rsidP="0085404A">
      <w:pPr>
        <w:pBdr>
          <w:top w:val="single" w:sz="4" w:space="1" w:color="auto"/>
          <w:left w:val="single" w:sz="4" w:space="1" w:color="auto"/>
          <w:bottom w:val="single" w:sz="4" w:space="1" w:color="auto"/>
          <w:right w:val="single" w:sz="4" w:space="1" w:color="auto"/>
        </w:pBdr>
        <w:jc w:val="both"/>
        <w:rPr>
          <w:rFonts w:ascii="Times New Roman" w:hAnsi="Times New Roman" w:cs="Times New Roman"/>
          <w:sz w:val="24"/>
          <w:szCs w:val="24"/>
        </w:rPr>
      </w:pPr>
      <w:r w:rsidRPr="00FE48CF">
        <w:rPr>
          <w:rFonts w:ascii="Times New Roman" w:hAnsi="Times New Roman" w:cs="Times New Roman"/>
          <w:sz w:val="24"/>
          <w:szCs w:val="24"/>
        </w:rPr>
        <w:t xml:space="preserve">1. Декларация от кмета на общината, че под терена, в който ще се изпълнят дейностите по проекта, са изградени или реконструирани водоснабдителните и/или канализационните системи (ВиК) или не се предвижда да се изграждат или реконструират ВиК системи за период седем години считано от датата на сключване на административния договор. </w:t>
      </w:r>
    </w:p>
    <w:p w14:paraId="448CC416" w14:textId="4FD41542" w:rsidR="00497639" w:rsidRPr="00497639" w:rsidRDefault="00497639" w:rsidP="00497639">
      <w:pPr>
        <w:pBdr>
          <w:top w:val="single" w:sz="4" w:space="1" w:color="auto"/>
          <w:left w:val="single" w:sz="4" w:space="1" w:color="auto"/>
          <w:bottom w:val="single" w:sz="4" w:space="1" w:color="auto"/>
          <w:right w:val="single" w:sz="4" w:space="1" w:color="auto"/>
        </w:pBdr>
        <w:jc w:val="both"/>
        <w:rPr>
          <w:rFonts w:ascii="Times New Roman" w:hAnsi="Times New Roman" w:cs="Times New Roman"/>
          <w:b/>
          <w:sz w:val="24"/>
          <w:szCs w:val="24"/>
        </w:rPr>
      </w:pPr>
      <w:r w:rsidRPr="00497639">
        <w:rPr>
          <w:rFonts w:ascii="Times New Roman" w:hAnsi="Times New Roman" w:cs="Times New Roman"/>
          <w:b/>
          <w:sz w:val="24"/>
          <w:szCs w:val="24"/>
        </w:rPr>
        <w:t xml:space="preserve">V. </w:t>
      </w:r>
      <w:r>
        <w:rPr>
          <w:rFonts w:ascii="Times New Roman" w:hAnsi="Times New Roman" w:cs="Times New Roman"/>
          <w:b/>
          <w:sz w:val="24"/>
          <w:szCs w:val="24"/>
        </w:rPr>
        <w:t>За дейност</w:t>
      </w:r>
      <w:r w:rsidRPr="00497639">
        <w:rPr>
          <w:rFonts w:ascii="Times New Roman" w:hAnsi="Times New Roman" w:cs="Times New Roman"/>
          <w:b/>
          <w:sz w:val="24"/>
          <w:szCs w:val="24"/>
        </w:rPr>
        <w:t xml:space="preserve"> реконструкция, ремонт, оборудване и/или обзавеждане на общински сгради, в които се предоставят обществени услуги, с цел подобряване на тяхната енергийна ефективност:</w:t>
      </w:r>
    </w:p>
    <w:p w14:paraId="674B503D" w14:textId="77777777" w:rsidR="00497639" w:rsidRPr="00497639" w:rsidRDefault="00497639" w:rsidP="00497639">
      <w:pPr>
        <w:pBdr>
          <w:top w:val="single" w:sz="4" w:space="1" w:color="auto"/>
          <w:left w:val="single" w:sz="4" w:space="1" w:color="auto"/>
          <w:bottom w:val="single" w:sz="4" w:space="1" w:color="auto"/>
          <w:right w:val="single" w:sz="4" w:space="1" w:color="auto"/>
        </w:pBdr>
        <w:jc w:val="both"/>
        <w:rPr>
          <w:rFonts w:ascii="Times New Roman" w:hAnsi="Times New Roman" w:cs="Times New Roman"/>
          <w:sz w:val="24"/>
          <w:szCs w:val="24"/>
        </w:rPr>
      </w:pPr>
      <w:r w:rsidRPr="00497639">
        <w:rPr>
          <w:rFonts w:ascii="Times New Roman" w:hAnsi="Times New Roman" w:cs="Times New Roman"/>
          <w:sz w:val="24"/>
          <w:szCs w:val="24"/>
        </w:rPr>
        <w:t>1. Подпомагат се проекти, за които са представени:</w:t>
      </w:r>
    </w:p>
    <w:p w14:paraId="4F52229B" w14:textId="77777777" w:rsidR="00497639" w:rsidRPr="00497639" w:rsidRDefault="00497639" w:rsidP="00497639">
      <w:pPr>
        <w:pBdr>
          <w:top w:val="single" w:sz="4" w:space="1" w:color="auto"/>
          <w:left w:val="single" w:sz="4" w:space="1" w:color="auto"/>
          <w:bottom w:val="single" w:sz="4" w:space="1" w:color="auto"/>
          <w:right w:val="single" w:sz="4" w:space="1" w:color="auto"/>
        </w:pBdr>
        <w:jc w:val="both"/>
        <w:rPr>
          <w:rFonts w:ascii="Times New Roman" w:hAnsi="Times New Roman" w:cs="Times New Roman"/>
          <w:sz w:val="24"/>
          <w:szCs w:val="24"/>
        </w:rPr>
      </w:pPr>
      <w:r w:rsidRPr="00497639">
        <w:rPr>
          <w:rFonts w:ascii="Times New Roman" w:hAnsi="Times New Roman" w:cs="Times New Roman"/>
          <w:sz w:val="24"/>
          <w:szCs w:val="24"/>
        </w:rPr>
        <w:t>1.1 решение на общинския съвет, потвърждаващо, че дейностите, свързани с инвестиции за подобряването на енергийната ефективност, отговарят на общинската програма за енергийна ефективност на съответната община.</w:t>
      </w:r>
    </w:p>
    <w:p w14:paraId="15AB6B3F" w14:textId="12B1A95D" w:rsidR="00497639" w:rsidRDefault="00497639" w:rsidP="0085404A">
      <w:pPr>
        <w:pBdr>
          <w:top w:val="single" w:sz="4" w:space="1" w:color="auto"/>
          <w:left w:val="single" w:sz="4" w:space="1" w:color="auto"/>
          <w:bottom w:val="single" w:sz="4" w:space="1" w:color="auto"/>
          <w:right w:val="single" w:sz="4" w:space="1" w:color="auto"/>
        </w:pBdr>
        <w:jc w:val="both"/>
        <w:rPr>
          <w:rFonts w:ascii="Times New Roman" w:hAnsi="Times New Roman" w:cs="Times New Roman"/>
          <w:sz w:val="24"/>
          <w:szCs w:val="24"/>
        </w:rPr>
      </w:pPr>
      <w:r w:rsidRPr="00497639">
        <w:rPr>
          <w:rFonts w:ascii="Times New Roman" w:hAnsi="Times New Roman" w:cs="Times New Roman"/>
          <w:sz w:val="24"/>
          <w:szCs w:val="24"/>
        </w:rPr>
        <w:t>1.2. обследване за енергийна ефективност придружено от валиден сертификат за енергийни характеристики на сграда в експлоатация, изготвени по реда на чл. 48 от Закона за енергийната ефективност и Наредба № Е-РД-04-1 от 2016 г. за обследване за енергийна ефективност, сертифициране и оценка на енергийните спестявания на сград</w:t>
      </w:r>
      <w:r>
        <w:rPr>
          <w:rFonts w:ascii="Times New Roman" w:hAnsi="Times New Roman" w:cs="Times New Roman"/>
          <w:sz w:val="24"/>
          <w:szCs w:val="24"/>
        </w:rPr>
        <w:t>и (ДВ, бр. 10 от 2016 г.).</w:t>
      </w:r>
    </w:p>
    <w:p w14:paraId="446E1838" w14:textId="2A39D913" w:rsidR="004B06F5" w:rsidRDefault="004B06F5" w:rsidP="00327E37">
      <w:pPr>
        <w:pStyle w:val="Heading2"/>
      </w:pPr>
      <w:bookmarkStart w:id="38" w:name="_Toc534292213"/>
      <w:r>
        <w:t>13.3. Недопустими дейности</w:t>
      </w:r>
      <w:bookmarkEnd w:id="38"/>
    </w:p>
    <w:p w14:paraId="1AAD8935" w14:textId="4AE16B89" w:rsidR="00DC09F7" w:rsidRPr="00DC09F7" w:rsidRDefault="00DC09F7" w:rsidP="00DC09F7">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00" w:line="276" w:lineRule="auto"/>
        <w:jc w:val="both"/>
        <w:rPr>
          <w:rFonts w:ascii="Times New Roman" w:eastAsia="Calibri" w:hAnsi="Times New Roman" w:cs="Times New Roman"/>
          <w:sz w:val="24"/>
          <w:szCs w:val="24"/>
        </w:rPr>
      </w:pPr>
      <w:r w:rsidRPr="00DC09F7">
        <w:rPr>
          <w:rFonts w:ascii="Times New Roman" w:eastAsia="Calibri" w:hAnsi="Times New Roman" w:cs="Times New Roman"/>
          <w:sz w:val="24"/>
          <w:szCs w:val="24"/>
        </w:rPr>
        <w:t>Безвъзмездната финансова помощ не се предоставя за финансиране на разходи, които вече са финансирани със средства от ЕСИФ или чрез други инструменти на Европейския съюз в съответствие с чл. 65, параграф 11 от Регламент (ЕС) № 1303/2013 на Европейския парламент и на Съвета от 17 декември 2013 г.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(ОВ, L 347/320 от 20 декември 2013 г.), както и с други публични средства, различни от тези на бенефициента за дейностите, които се подпомагат по настоящата процедура и са за същия обект/и.</w:t>
      </w:r>
    </w:p>
    <w:p w14:paraId="0E7573A0" w14:textId="77777777" w:rsidR="00DC09F7" w:rsidRPr="00DC09F7" w:rsidRDefault="00DC09F7" w:rsidP="00DC09F7">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00" w:line="276" w:lineRule="auto"/>
        <w:jc w:val="both"/>
        <w:rPr>
          <w:rFonts w:ascii="Times New Roman" w:eastAsia="Calibri" w:hAnsi="Times New Roman" w:cs="Times New Roman"/>
          <w:sz w:val="24"/>
          <w:szCs w:val="24"/>
        </w:rPr>
      </w:pPr>
      <w:r w:rsidRPr="00DC09F7">
        <w:rPr>
          <w:rFonts w:ascii="Times New Roman" w:eastAsia="Calibri" w:hAnsi="Times New Roman" w:cs="Times New Roman"/>
          <w:sz w:val="24"/>
          <w:szCs w:val="24"/>
        </w:rPr>
        <w:t xml:space="preserve">Не са допустими за финансиране дейности, които са стартирали, физически приключени </w:t>
      </w:r>
      <w:r w:rsidRPr="00DC09F7">
        <w:rPr>
          <w:rFonts w:ascii="Times New Roman" w:eastAsia="Calibri" w:hAnsi="Times New Roman" w:cs="Times New Roman"/>
          <w:sz w:val="24"/>
          <w:szCs w:val="24"/>
        </w:rPr>
        <w:lastRenderedPageBreak/>
        <w:t>или изцяло изпълнени преди подаване на проектното предложение.</w:t>
      </w:r>
    </w:p>
    <w:p w14:paraId="3A7948BA" w14:textId="77777777" w:rsidR="00815963" w:rsidRPr="007713C1" w:rsidRDefault="00815963" w:rsidP="007A0720">
      <w:pPr>
        <w:pStyle w:val="Heading1"/>
      </w:pPr>
      <w:bookmarkStart w:id="39" w:name="_Toc534292214"/>
      <w:r w:rsidRPr="007713C1">
        <w:t>14. Категории ра</w:t>
      </w:r>
      <w:r w:rsidR="005B29DA" w:rsidRPr="007713C1">
        <w:t>зходи, допустими за финансиране</w:t>
      </w:r>
      <w:r w:rsidRPr="007713C1">
        <w:t>:</w:t>
      </w:r>
      <w:bookmarkEnd w:id="36"/>
      <w:bookmarkEnd w:id="39"/>
    </w:p>
    <w:p w14:paraId="59E7E9F3" w14:textId="77777777" w:rsidR="00F74CEC" w:rsidRPr="00327E37" w:rsidRDefault="002705DF" w:rsidP="00327E37">
      <w:pPr>
        <w:pStyle w:val="Heading2"/>
      </w:pPr>
      <w:bookmarkStart w:id="40" w:name="_Toc445385594"/>
      <w:bookmarkStart w:id="41" w:name="_Toc534292215"/>
      <w:r w:rsidRPr="00327E37">
        <w:t>14.</w:t>
      </w:r>
      <w:r w:rsidR="007A0720" w:rsidRPr="00327E37">
        <w:t>1</w:t>
      </w:r>
      <w:r w:rsidRPr="00327E37">
        <w:t>. Допустими разходи</w:t>
      </w:r>
      <w:bookmarkEnd w:id="40"/>
      <w:bookmarkEnd w:id="41"/>
    </w:p>
    <w:tbl>
      <w:tblPr>
        <w:tblStyle w:val="TableGrid"/>
        <w:tblW w:w="0" w:type="auto"/>
        <w:tblInd w:w="-147" w:type="dxa"/>
        <w:tblLook w:val="04A0" w:firstRow="1" w:lastRow="0" w:firstColumn="1" w:lastColumn="0" w:noHBand="0" w:noVBand="1"/>
      </w:tblPr>
      <w:tblGrid>
        <w:gridCol w:w="9493"/>
      </w:tblGrid>
      <w:tr w:rsidR="002705DF" w:rsidRPr="00F6555A" w14:paraId="4818B9CC" w14:textId="77777777" w:rsidTr="00327E37">
        <w:tc>
          <w:tcPr>
            <w:tcW w:w="9493" w:type="dxa"/>
            <w:shd w:val="clear" w:color="auto" w:fill="auto"/>
          </w:tcPr>
          <w:p w14:paraId="6D86E89D" w14:textId="01D9D5FF" w:rsidR="00B36419" w:rsidRPr="00055371" w:rsidRDefault="00B36419" w:rsidP="00B36419">
            <w:pPr>
              <w:widowControl w:val="0"/>
              <w:autoSpaceDE w:val="0"/>
              <w:autoSpaceDN w:val="0"/>
              <w:adjustRightInd w:val="0"/>
              <w:jc w:val="both"/>
              <w:rPr>
                <w:sz w:val="24"/>
                <w:szCs w:val="24"/>
              </w:rPr>
            </w:pPr>
            <w:r w:rsidRPr="00055371">
              <w:rPr>
                <w:sz w:val="24"/>
                <w:szCs w:val="24"/>
              </w:rPr>
              <w:t>Допустими за подпомагане са следните разходи:</w:t>
            </w:r>
          </w:p>
          <w:p w14:paraId="06BDAD94" w14:textId="77777777" w:rsidR="00801B9A" w:rsidRPr="00253C6A" w:rsidRDefault="00801B9A" w:rsidP="00253C6A">
            <w:pPr>
              <w:jc w:val="both"/>
              <w:rPr>
                <w:sz w:val="24"/>
                <w:szCs w:val="24"/>
              </w:rPr>
            </w:pPr>
          </w:p>
          <w:p w14:paraId="42EF4527" w14:textId="3CA9884E" w:rsidR="00E74EED" w:rsidRPr="00253C6A" w:rsidRDefault="002F0867" w:rsidP="00253C6A">
            <w:pPr>
              <w:jc w:val="both"/>
              <w:rPr>
                <w:sz w:val="24"/>
                <w:szCs w:val="24"/>
              </w:rPr>
            </w:pPr>
            <w:r>
              <w:rPr>
                <w:sz w:val="24"/>
                <w:szCs w:val="24"/>
              </w:rPr>
              <w:t xml:space="preserve">1. </w:t>
            </w:r>
            <w:r w:rsidR="0052663F" w:rsidRPr="00253C6A">
              <w:rPr>
                <w:sz w:val="24"/>
                <w:szCs w:val="24"/>
              </w:rPr>
              <w:t>Изграждането</w:t>
            </w:r>
            <w:r w:rsidR="00E74EED" w:rsidRPr="00253C6A">
              <w:rPr>
                <w:sz w:val="24"/>
                <w:szCs w:val="24"/>
              </w:rPr>
              <w:t xml:space="preserve">, включително отпускането на лизинг, или подобренията </w:t>
            </w:r>
            <w:r w:rsidR="00715296" w:rsidRPr="00253C6A">
              <w:rPr>
                <w:sz w:val="24"/>
                <w:szCs w:val="24"/>
              </w:rPr>
              <w:t>на недвижимо имущество;</w:t>
            </w:r>
          </w:p>
          <w:p w14:paraId="703CC8B3" w14:textId="590C04E2" w:rsidR="00E74EED" w:rsidRPr="00253C6A" w:rsidRDefault="002F0867" w:rsidP="00253C6A">
            <w:pPr>
              <w:jc w:val="both"/>
              <w:rPr>
                <w:sz w:val="24"/>
                <w:szCs w:val="24"/>
              </w:rPr>
            </w:pPr>
            <w:r>
              <w:rPr>
                <w:sz w:val="24"/>
                <w:szCs w:val="24"/>
              </w:rPr>
              <w:t xml:space="preserve">2. </w:t>
            </w:r>
            <w:r w:rsidR="00E74EED" w:rsidRPr="00253C6A">
              <w:rPr>
                <w:sz w:val="24"/>
                <w:szCs w:val="24"/>
              </w:rPr>
              <w:t>Закупуването или вземането на лизинг на нови машини и оборудване, обзавеждане до</w:t>
            </w:r>
          </w:p>
          <w:p w14:paraId="66EC6B91" w14:textId="77777777" w:rsidR="00E74EED" w:rsidRPr="00253C6A" w:rsidRDefault="00E74EED" w:rsidP="00253C6A">
            <w:pPr>
              <w:jc w:val="both"/>
              <w:rPr>
                <w:sz w:val="24"/>
                <w:szCs w:val="24"/>
              </w:rPr>
            </w:pPr>
            <w:r w:rsidRPr="00253C6A">
              <w:rPr>
                <w:sz w:val="24"/>
                <w:szCs w:val="24"/>
              </w:rPr>
              <w:t>пазарната цена на актива;</w:t>
            </w:r>
          </w:p>
          <w:p w14:paraId="6221EC18" w14:textId="2FC7CD73" w:rsidR="004335B3" w:rsidRPr="00253C6A" w:rsidRDefault="002F0867" w:rsidP="00253C6A">
            <w:pPr>
              <w:jc w:val="both"/>
              <w:rPr>
                <w:sz w:val="24"/>
                <w:szCs w:val="24"/>
              </w:rPr>
            </w:pPr>
            <w:r>
              <w:rPr>
                <w:sz w:val="24"/>
                <w:szCs w:val="24"/>
              </w:rPr>
              <w:t xml:space="preserve">3. </w:t>
            </w:r>
            <w:r w:rsidR="00E74EED" w:rsidRPr="00253C6A">
              <w:rPr>
                <w:sz w:val="24"/>
                <w:szCs w:val="24"/>
              </w:rPr>
              <w:t>Общи разходи свързани със съответния проект за такси,</w:t>
            </w:r>
            <w:r w:rsidR="00253C6A">
              <w:rPr>
                <w:sz w:val="24"/>
                <w:szCs w:val="24"/>
              </w:rPr>
              <w:t xml:space="preserve"> </w:t>
            </w:r>
            <w:r w:rsidR="00E74EED" w:rsidRPr="00253C6A">
              <w:rPr>
                <w:sz w:val="24"/>
                <w:szCs w:val="24"/>
              </w:rPr>
              <w:t>хонорари за архитекти, инженери и консултантски услуги; хонорари, свързани с</w:t>
            </w:r>
            <w:r w:rsidR="00253C6A">
              <w:rPr>
                <w:sz w:val="24"/>
                <w:szCs w:val="24"/>
              </w:rPr>
              <w:t xml:space="preserve"> </w:t>
            </w:r>
            <w:r w:rsidR="00E74EED" w:rsidRPr="00253C6A">
              <w:rPr>
                <w:sz w:val="24"/>
                <w:szCs w:val="24"/>
              </w:rPr>
              <w:t>консултации относно екологична</w:t>
            </w:r>
            <w:r w:rsidR="004335B3" w:rsidRPr="00253C6A">
              <w:rPr>
                <w:sz w:val="24"/>
                <w:szCs w:val="24"/>
              </w:rPr>
              <w:t xml:space="preserve">та и икономическата устойчивост.  </w:t>
            </w:r>
          </w:p>
          <w:p w14:paraId="19F21529" w14:textId="3B1CFCFB" w:rsidR="00E74EED" w:rsidRPr="00253C6A" w:rsidRDefault="004335B3" w:rsidP="00253C6A">
            <w:pPr>
              <w:jc w:val="both"/>
              <w:rPr>
                <w:sz w:val="24"/>
                <w:szCs w:val="24"/>
              </w:rPr>
            </w:pPr>
            <w:r w:rsidRPr="00253C6A">
              <w:rPr>
                <w:sz w:val="24"/>
                <w:szCs w:val="24"/>
              </w:rPr>
              <w:t>Консултантските услуги се състоят от разработване на бизнес план, включващ предпроектни изследвания и маркетингови стратегии или попълване на анализ разходи-ползи (финансов анализ), извършване на предпроектни проучвания и окомплектоване на пакета от документи и консултантски услуги, свързани с изпълнението и отчитането на дейностите по проекта до изплащане на помощта и не следва да надхвърлят 5 на сто от стойността на допустимите разходи.</w:t>
            </w:r>
          </w:p>
          <w:p w14:paraId="77227326" w14:textId="1F0D8F97" w:rsidR="00E74EED" w:rsidRPr="00253C6A" w:rsidRDefault="002F0867" w:rsidP="00253C6A">
            <w:pPr>
              <w:jc w:val="both"/>
              <w:rPr>
                <w:sz w:val="24"/>
                <w:szCs w:val="24"/>
              </w:rPr>
            </w:pPr>
            <w:r>
              <w:rPr>
                <w:sz w:val="24"/>
                <w:szCs w:val="24"/>
              </w:rPr>
              <w:t xml:space="preserve">4. </w:t>
            </w:r>
            <w:r w:rsidR="00E74EED" w:rsidRPr="00253C6A">
              <w:rPr>
                <w:sz w:val="24"/>
                <w:szCs w:val="24"/>
              </w:rPr>
              <w:t>Нематериални инвестиции: придобиването или развитието на компютърен софтуер и</w:t>
            </w:r>
          </w:p>
          <w:p w14:paraId="7FA86DEA" w14:textId="77777777" w:rsidR="00E74EED" w:rsidRPr="00253C6A" w:rsidRDefault="00E74EED" w:rsidP="00253C6A">
            <w:pPr>
              <w:jc w:val="both"/>
              <w:rPr>
                <w:sz w:val="24"/>
                <w:szCs w:val="24"/>
              </w:rPr>
            </w:pPr>
            <w:r w:rsidRPr="00253C6A">
              <w:rPr>
                <w:sz w:val="24"/>
                <w:szCs w:val="24"/>
              </w:rPr>
              <w:t>придобиването на патенти, лицензи, авторски права, търговски марки.</w:t>
            </w:r>
          </w:p>
          <w:p w14:paraId="33CBB9EF" w14:textId="77777777" w:rsidR="004335B3" w:rsidRPr="00253C6A" w:rsidRDefault="004335B3" w:rsidP="00253C6A">
            <w:pPr>
              <w:jc w:val="both"/>
              <w:rPr>
                <w:sz w:val="24"/>
                <w:szCs w:val="24"/>
              </w:rPr>
            </w:pPr>
          </w:p>
          <w:p w14:paraId="7D5C5602" w14:textId="7AD1D8DD" w:rsidR="00E74EED" w:rsidRPr="00253C6A" w:rsidRDefault="002F0867" w:rsidP="00253C6A">
            <w:pPr>
              <w:jc w:val="both"/>
              <w:rPr>
                <w:sz w:val="24"/>
                <w:szCs w:val="24"/>
              </w:rPr>
            </w:pPr>
            <w:r>
              <w:rPr>
                <w:sz w:val="24"/>
                <w:szCs w:val="24"/>
              </w:rPr>
              <w:t>Разходите по т. 3</w:t>
            </w:r>
            <w:r w:rsidR="00E74EED" w:rsidRPr="00253C6A">
              <w:rPr>
                <w:sz w:val="24"/>
                <w:szCs w:val="24"/>
              </w:rPr>
              <w:t xml:space="preserve"> не трябва да надхвърлят 12</w:t>
            </w:r>
            <w:r>
              <w:rPr>
                <w:sz w:val="24"/>
                <w:szCs w:val="24"/>
              </w:rPr>
              <w:t>% от сумата на разходите по т. 1, 2 и 4.</w:t>
            </w:r>
          </w:p>
          <w:p w14:paraId="7AAA7A45" w14:textId="77777777" w:rsidR="008F5ACE" w:rsidRPr="00055371" w:rsidRDefault="008F5ACE" w:rsidP="00E74EED">
            <w:pPr>
              <w:widowControl w:val="0"/>
              <w:autoSpaceDE w:val="0"/>
              <w:autoSpaceDN w:val="0"/>
              <w:adjustRightInd w:val="0"/>
              <w:jc w:val="both"/>
              <w:rPr>
                <w:sz w:val="24"/>
                <w:szCs w:val="24"/>
              </w:rPr>
            </w:pPr>
          </w:p>
          <w:p w14:paraId="6AC87FE3" w14:textId="12EAC97E" w:rsidR="00305F4F" w:rsidRPr="00055371" w:rsidRDefault="00305F4F" w:rsidP="00E74EED">
            <w:pPr>
              <w:widowControl w:val="0"/>
              <w:autoSpaceDE w:val="0"/>
              <w:autoSpaceDN w:val="0"/>
              <w:adjustRightInd w:val="0"/>
              <w:jc w:val="both"/>
              <w:rPr>
                <w:sz w:val="24"/>
                <w:szCs w:val="24"/>
              </w:rPr>
            </w:pPr>
            <w:r w:rsidRPr="00055371">
              <w:rPr>
                <w:sz w:val="24"/>
                <w:szCs w:val="24"/>
              </w:rPr>
              <w:t>Закупуването на транспортни средства/мобилни обекти е допустимо за следните дейности:</w:t>
            </w:r>
          </w:p>
          <w:p w14:paraId="5440917B" w14:textId="77777777" w:rsidR="00305F4F" w:rsidRPr="00055371" w:rsidRDefault="00305F4F" w:rsidP="00E74EED">
            <w:pPr>
              <w:widowControl w:val="0"/>
              <w:autoSpaceDE w:val="0"/>
              <w:autoSpaceDN w:val="0"/>
              <w:adjustRightInd w:val="0"/>
              <w:jc w:val="both"/>
              <w:rPr>
                <w:sz w:val="24"/>
                <w:szCs w:val="24"/>
              </w:rPr>
            </w:pPr>
          </w:p>
          <w:p w14:paraId="3C4479AD" w14:textId="18F31A50" w:rsidR="00305F4F" w:rsidRPr="00055371" w:rsidRDefault="00305F4F" w:rsidP="00305F4F">
            <w:pPr>
              <w:widowControl w:val="0"/>
              <w:autoSpaceDE w:val="0"/>
              <w:autoSpaceDN w:val="0"/>
              <w:adjustRightInd w:val="0"/>
              <w:jc w:val="both"/>
              <w:rPr>
                <w:sz w:val="24"/>
                <w:szCs w:val="24"/>
              </w:rPr>
            </w:pPr>
            <w:r w:rsidRPr="00055371">
              <w:rPr>
                <w:sz w:val="24"/>
                <w:szCs w:val="24"/>
              </w:rPr>
              <w:t>-</w:t>
            </w:r>
            <w:r w:rsidRPr="00055371">
              <w:t xml:space="preserve"> </w:t>
            </w:r>
            <w:r w:rsidRPr="00055371">
              <w:rPr>
                <w:sz w:val="24"/>
                <w:szCs w:val="24"/>
              </w:rPr>
              <w:t>Изграждане, реконструкция, ремонт, оборудване и/или обзавеждане на социална инфраструктура за предоставяне на услуги, които не са част от процеса на деинституционализация на деца или възрастни, вкл</w:t>
            </w:r>
            <w:r w:rsidR="00055371" w:rsidRPr="00055371">
              <w:rPr>
                <w:sz w:val="24"/>
                <w:szCs w:val="24"/>
              </w:rPr>
              <w:t xml:space="preserve">ючително транспортни средства; </w:t>
            </w:r>
          </w:p>
          <w:p w14:paraId="5D51FC49" w14:textId="41451FFE" w:rsidR="00305F4F" w:rsidRPr="00055371" w:rsidRDefault="00305F4F" w:rsidP="00305F4F">
            <w:pPr>
              <w:widowControl w:val="0"/>
              <w:autoSpaceDE w:val="0"/>
              <w:autoSpaceDN w:val="0"/>
              <w:adjustRightInd w:val="0"/>
              <w:jc w:val="both"/>
              <w:rPr>
                <w:sz w:val="24"/>
                <w:szCs w:val="24"/>
              </w:rPr>
            </w:pPr>
            <w:r w:rsidRPr="00055371">
              <w:rPr>
                <w:sz w:val="24"/>
                <w:szCs w:val="24"/>
              </w:rPr>
              <w:t>- Изграждане, реконструкция, ремонт, реставрация, закупуване на оборудване и/или обзавеждане на обекти, свързани с културния живот, вкл. мобилни такива, вкл. и дейности по вертикалната планировка и подобрява</w:t>
            </w:r>
            <w:r w:rsidR="00055371" w:rsidRPr="00055371">
              <w:rPr>
                <w:sz w:val="24"/>
                <w:szCs w:val="24"/>
              </w:rPr>
              <w:t>не на прилежащите пространства.</w:t>
            </w:r>
          </w:p>
          <w:p w14:paraId="68F8BAA6" w14:textId="6CD9700B" w:rsidR="00055371" w:rsidRPr="00055371" w:rsidRDefault="00055371" w:rsidP="00305F4F">
            <w:pPr>
              <w:widowControl w:val="0"/>
              <w:autoSpaceDE w:val="0"/>
              <w:autoSpaceDN w:val="0"/>
              <w:adjustRightInd w:val="0"/>
              <w:jc w:val="both"/>
              <w:rPr>
                <w:sz w:val="24"/>
                <w:szCs w:val="24"/>
              </w:rPr>
            </w:pPr>
            <w:r w:rsidRPr="00055371">
              <w:rPr>
                <w:sz w:val="24"/>
                <w:szCs w:val="24"/>
              </w:rPr>
              <w:t xml:space="preserve">„Мобилни средства“ са моторни </w:t>
            </w:r>
            <w:r>
              <w:rPr>
                <w:sz w:val="24"/>
                <w:szCs w:val="24"/>
              </w:rPr>
              <w:t>превозни средства, които не позволяват използването им за други цели освен изключително и само за осъществяване на дейности за предоставяне на услуги, свързани с културния живот.</w:t>
            </w:r>
          </w:p>
          <w:p w14:paraId="31DB60AE" w14:textId="1B536EA5" w:rsidR="00305F4F" w:rsidRPr="00055371" w:rsidRDefault="00305F4F" w:rsidP="00305F4F">
            <w:pPr>
              <w:widowControl w:val="0"/>
              <w:autoSpaceDE w:val="0"/>
              <w:autoSpaceDN w:val="0"/>
              <w:adjustRightInd w:val="0"/>
              <w:jc w:val="both"/>
              <w:rPr>
                <w:sz w:val="24"/>
                <w:szCs w:val="24"/>
              </w:rPr>
            </w:pPr>
          </w:p>
        </w:tc>
      </w:tr>
    </w:tbl>
    <w:p w14:paraId="707D332E" w14:textId="58240BEC" w:rsidR="00CF24E1" w:rsidRDefault="00CF24E1" w:rsidP="00327E37">
      <w:pPr>
        <w:pStyle w:val="Heading2"/>
      </w:pPr>
      <w:bookmarkStart w:id="42" w:name="_Toc534292216"/>
      <w:bookmarkStart w:id="43" w:name="_Toc445385595"/>
      <w:r>
        <w:t>14.2. Условия за допустимост на разходите</w:t>
      </w:r>
      <w:bookmarkEnd w:id="42"/>
    </w:p>
    <w:p w14:paraId="6FEBD712" w14:textId="57C29D65" w:rsidR="002F0867" w:rsidRPr="002F0867" w:rsidRDefault="002F0867" w:rsidP="00723F8A">
      <w:pPr>
        <w:keepNext/>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76"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lastRenderedPageBreak/>
        <w:t>Разходите по т. 3</w:t>
      </w:r>
      <w:r w:rsidRPr="002F0867">
        <w:rPr>
          <w:rFonts w:ascii="Times New Roman" w:eastAsia="Times New Roman" w:hAnsi="Times New Roman" w:cs="Times New Roman"/>
          <w:sz w:val="24"/>
          <w:szCs w:val="24"/>
          <w:lang w:eastAsia="bg-BG"/>
        </w:rPr>
        <w:t xml:space="preserve"> са допустими, ако са извършени не по-рано от 1 януари 2014 г., независимо дали всички свързани с тях плащания са направени.</w:t>
      </w:r>
    </w:p>
    <w:p w14:paraId="03C8696A" w14:textId="77777777" w:rsidR="00723F8A" w:rsidRDefault="00723F8A" w:rsidP="00723F8A">
      <w:pPr>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76" w:lineRule="auto"/>
        <w:jc w:val="both"/>
        <w:rPr>
          <w:rFonts w:ascii="Times New Roman" w:eastAsia="Times New Roman" w:hAnsi="Times New Roman" w:cs="Times New Roman"/>
          <w:sz w:val="24"/>
          <w:szCs w:val="24"/>
          <w:lang w:eastAsia="bg-BG"/>
        </w:rPr>
      </w:pPr>
    </w:p>
    <w:p w14:paraId="45A6D0AA" w14:textId="53982D85" w:rsidR="002F0867" w:rsidRPr="002F0867" w:rsidRDefault="002F0867" w:rsidP="00723F8A">
      <w:pPr>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76" w:lineRule="auto"/>
        <w:jc w:val="both"/>
        <w:rPr>
          <w:rFonts w:ascii="Times New Roman" w:eastAsia="Times New Roman" w:hAnsi="Times New Roman" w:cs="Times New Roman"/>
          <w:sz w:val="24"/>
          <w:szCs w:val="24"/>
          <w:lang w:eastAsia="bg-BG"/>
        </w:rPr>
      </w:pPr>
      <w:r w:rsidRPr="002F0867">
        <w:rPr>
          <w:rFonts w:ascii="Times New Roman" w:eastAsia="Times New Roman" w:hAnsi="Times New Roman" w:cs="Times New Roman"/>
          <w:sz w:val="24"/>
          <w:szCs w:val="24"/>
          <w:lang w:eastAsia="bg-BG"/>
        </w:rPr>
        <w:t>Дейностите и разходите по проекта с</w:t>
      </w:r>
      <w:r>
        <w:rPr>
          <w:rFonts w:ascii="Times New Roman" w:eastAsia="Times New Roman" w:hAnsi="Times New Roman" w:cs="Times New Roman"/>
          <w:sz w:val="24"/>
          <w:szCs w:val="24"/>
          <w:lang w:eastAsia="bg-BG"/>
        </w:rPr>
        <w:t xml:space="preserve"> изключение на разходите по т. 3</w:t>
      </w:r>
      <w:r w:rsidRPr="002F0867">
        <w:rPr>
          <w:rFonts w:ascii="Times New Roman" w:eastAsia="Times New Roman" w:hAnsi="Times New Roman" w:cs="Times New Roman"/>
          <w:sz w:val="24"/>
          <w:szCs w:val="24"/>
          <w:lang w:eastAsia="bg-BG"/>
        </w:rPr>
        <w:t xml:space="preserve"> са допустими, ако са </w:t>
      </w:r>
      <w:r w:rsidRPr="002F0867">
        <w:rPr>
          <w:rFonts w:ascii="Times New Roman" w:eastAsia="Times New Roman" w:hAnsi="Times New Roman" w:cs="Times New Roman"/>
          <w:b/>
          <w:sz w:val="24"/>
          <w:szCs w:val="24"/>
          <w:lang w:eastAsia="bg-BG"/>
        </w:rPr>
        <w:t>извършени след подаване на проектното предложение</w:t>
      </w:r>
      <w:r w:rsidRPr="002F0867">
        <w:rPr>
          <w:rFonts w:ascii="Times New Roman" w:eastAsia="Times New Roman" w:hAnsi="Times New Roman" w:cs="Times New Roman"/>
          <w:sz w:val="24"/>
          <w:szCs w:val="24"/>
          <w:lang w:eastAsia="bg-BG"/>
        </w:rPr>
        <w:t>, независимо дали всички свързани с тях плащания са направени.</w:t>
      </w:r>
    </w:p>
    <w:p w14:paraId="28F61676" w14:textId="77777777" w:rsidR="00723F8A" w:rsidRDefault="00723F8A" w:rsidP="00723F8A">
      <w:pPr>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76" w:lineRule="auto"/>
        <w:jc w:val="both"/>
        <w:rPr>
          <w:rFonts w:ascii="Times New Roman" w:eastAsia="Times New Roman" w:hAnsi="Times New Roman" w:cs="Times New Roman"/>
          <w:sz w:val="24"/>
          <w:szCs w:val="24"/>
          <w:lang w:eastAsia="bg-BG"/>
        </w:rPr>
      </w:pPr>
    </w:p>
    <w:p w14:paraId="2B9FDECE" w14:textId="77777777" w:rsidR="002F0867" w:rsidRPr="002F0867" w:rsidRDefault="002F0867" w:rsidP="00723F8A">
      <w:pPr>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76" w:lineRule="auto"/>
        <w:jc w:val="both"/>
        <w:rPr>
          <w:rFonts w:ascii="Times New Roman" w:eastAsia="Times New Roman" w:hAnsi="Times New Roman" w:cs="Times New Roman"/>
          <w:sz w:val="24"/>
          <w:szCs w:val="24"/>
          <w:lang w:eastAsia="bg-BG"/>
        </w:rPr>
      </w:pPr>
      <w:r w:rsidRPr="002F0867">
        <w:rPr>
          <w:rFonts w:ascii="Times New Roman" w:eastAsia="Times New Roman" w:hAnsi="Times New Roman" w:cs="Times New Roman"/>
          <w:sz w:val="24"/>
          <w:szCs w:val="24"/>
          <w:lang w:eastAsia="bg-BG"/>
        </w:rPr>
        <w:t xml:space="preserve">Закупуването </w:t>
      </w:r>
      <w:r w:rsidRPr="002F0867">
        <w:rPr>
          <w:rFonts w:ascii="Times New Roman" w:eastAsia="Times New Roman" w:hAnsi="Times New Roman" w:cs="Times New Roman"/>
          <w:b/>
          <w:sz w:val="24"/>
          <w:szCs w:val="24"/>
          <w:lang w:eastAsia="bg-BG"/>
        </w:rPr>
        <w:t>чрез финансов лизинг</w:t>
      </w:r>
      <w:r w:rsidRPr="002F0867">
        <w:rPr>
          <w:rFonts w:ascii="Times New Roman" w:eastAsia="Times New Roman" w:hAnsi="Times New Roman" w:cs="Times New Roman"/>
          <w:sz w:val="24"/>
          <w:szCs w:val="24"/>
          <w:lang w:eastAsia="bg-BG"/>
        </w:rPr>
        <w:t xml:space="preserve"> на активите е допустимо, при условие че ползвателят на помощта стане собственик на съответния актив не по-късно от датата на подаване на искането за междинно или окончателно плащане за същия актив.</w:t>
      </w:r>
    </w:p>
    <w:p w14:paraId="4217DFEB" w14:textId="77777777" w:rsidR="00723F8A" w:rsidRDefault="00723F8A" w:rsidP="00723F8A">
      <w:pPr>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76" w:lineRule="auto"/>
        <w:jc w:val="both"/>
        <w:rPr>
          <w:rFonts w:ascii="Times New Roman" w:eastAsia="Times New Roman" w:hAnsi="Times New Roman" w:cs="Times New Roman"/>
          <w:sz w:val="24"/>
          <w:szCs w:val="24"/>
          <w:lang w:eastAsia="bg-BG"/>
        </w:rPr>
      </w:pPr>
    </w:p>
    <w:p w14:paraId="2F333E88" w14:textId="6165B874" w:rsidR="002F0867" w:rsidRPr="002F0867" w:rsidRDefault="002F0867" w:rsidP="00723F8A">
      <w:pPr>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76"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За разходите по т. 3</w:t>
      </w:r>
      <w:r w:rsidRPr="002F0867">
        <w:rPr>
          <w:rFonts w:ascii="Times New Roman" w:eastAsia="Times New Roman" w:hAnsi="Times New Roman" w:cs="Times New Roman"/>
          <w:sz w:val="24"/>
          <w:szCs w:val="24"/>
          <w:lang w:eastAsia="bg-BG"/>
        </w:rPr>
        <w:t>, извършени преди датата на подаване на проектното предложение, кандидатите (като възложители по чл. 5 и 6 от ЗОП), при подаване на проектното предложение представят заверено от възложителя копие на всички документи от проведената съгласно изискванията на ЗОП процедура за възлагане на обществена поръчка. Обосноваността на разхода се преценява чрез съпоставяне с определени референтни разходи.</w:t>
      </w:r>
    </w:p>
    <w:p w14:paraId="4D25E6E6" w14:textId="77777777" w:rsidR="00723F8A" w:rsidRDefault="00723F8A" w:rsidP="00723F8A">
      <w:pPr>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76" w:lineRule="auto"/>
        <w:jc w:val="both"/>
        <w:rPr>
          <w:rFonts w:ascii="Times New Roman" w:eastAsia="Times New Roman" w:hAnsi="Times New Roman" w:cs="Times New Roman"/>
          <w:sz w:val="24"/>
          <w:szCs w:val="24"/>
          <w:lang w:val="ru-RU" w:eastAsia="bg-BG"/>
        </w:rPr>
      </w:pPr>
    </w:p>
    <w:p w14:paraId="6678538B" w14:textId="0000F179" w:rsidR="00723F8A" w:rsidRDefault="00723F8A" w:rsidP="00723F8A">
      <w:pPr>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76" w:lineRule="auto"/>
        <w:jc w:val="both"/>
        <w:rPr>
          <w:rFonts w:ascii="Times New Roman" w:eastAsia="Times New Roman" w:hAnsi="Times New Roman" w:cs="Times New Roman"/>
          <w:sz w:val="24"/>
          <w:szCs w:val="24"/>
          <w:lang w:val="ru-RU" w:eastAsia="bg-BG"/>
        </w:rPr>
      </w:pPr>
      <w:r>
        <w:rPr>
          <w:rFonts w:ascii="Times New Roman" w:eastAsia="Times New Roman" w:hAnsi="Times New Roman" w:cs="Times New Roman"/>
          <w:sz w:val="24"/>
          <w:szCs w:val="24"/>
          <w:lang w:val="ru-RU" w:eastAsia="bg-BG"/>
        </w:rPr>
        <w:t>Когато разходът</w:t>
      </w:r>
      <w:r w:rsidR="0065465B">
        <w:rPr>
          <w:rFonts w:ascii="Times New Roman" w:eastAsia="Times New Roman" w:hAnsi="Times New Roman" w:cs="Times New Roman"/>
          <w:sz w:val="24"/>
          <w:szCs w:val="24"/>
          <w:lang w:val="ru-RU" w:eastAsia="bg-BG"/>
        </w:rPr>
        <w:t xml:space="preserve"> е включен в С</w:t>
      </w:r>
      <w:r w:rsidRPr="00723F8A">
        <w:rPr>
          <w:rFonts w:ascii="Times New Roman" w:eastAsia="Times New Roman" w:hAnsi="Times New Roman" w:cs="Times New Roman"/>
          <w:sz w:val="24"/>
          <w:szCs w:val="24"/>
          <w:lang w:val="ru-RU" w:eastAsia="bg-BG"/>
        </w:rPr>
        <w:t>писъка с активите, дейностите и услугите, за които са определени референтни разходи</w:t>
      </w:r>
      <w:r w:rsidR="0089466E">
        <w:rPr>
          <w:rFonts w:ascii="Times New Roman" w:eastAsia="Times New Roman" w:hAnsi="Times New Roman" w:cs="Times New Roman"/>
          <w:sz w:val="24"/>
          <w:szCs w:val="24"/>
          <w:lang w:val="ru-RU" w:eastAsia="bg-BG"/>
        </w:rPr>
        <w:t xml:space="preserve"> (Приложение № 17</w:t>
      </w:r>
      <w:r w:rsidR="0065465B">
        <w:rPr>
          <w:rFonts w:ascii="Times New Roman" w:eastAsia="Times New Roman" w:hAnsi="Times New Roman" w:cs="Times New Roman"/>
          <w:sz w:val="24"/>
          <w:szCs w:val="24"/>
          <w:lang w:val="ru-RU" w:eastAsia="bg-BG"/>
        </w:rPr>
        <w:t>)</w:t>
      </w:r>
      <w:r w:rsidRPr="00723F8A">
        <w:rPr>
          <w:rFonts w:ascii="Times New Roman" w:eastAsia="Times New Roman" w:hAnsi="Times New Roman" w:cs="Times New Roman"/>
          <w:sz w:val="24"/>
          <w:szCs w:val="24"/>
          <w:lang w:val="ru-RU" w:eastAsia="bg-BG"/>
        </w:rPr>
        <w:t xml:space="preserve"> </w:t>
      </w:r>
      <w:r>
        <w:rPr>
          <w:rFonts w:ascii="Times New Roman" w:eastAsia="Times New Roman" w:hAnsi="Times New Roman" w:cs="Times New Roman"/>
          <w:sz w:val="24"/>
          <w:szCs w:val="24"/>
          <w:lang w:val="ru-RU" w:eastAsia="bg-BG"/>
        </w:rPr>
        <w:t>се представя е</w:t>
      </w:r>
      <w:r w:rsidRPr="00723F8A">
        <w:rPr>
          <w:rFonts w:ascii="Times New Roman" w:eastAsia="Times New Roman" w:hAnsi="Times New Roman" w:cs="Times New Roman"/>
          <w:sz w:val="24"/>
          <w:szCs w:val="24"/>
          <w:lang w:val="ru-RU" w:eastAsia="bg-BG"/>
        </w:rPr>
        <w:t>дна независима оферта в оригинал, която съдържа наименованието на оферента, срока на валидност на офертата, датата на издаване на офертата, подпис и печат на оферента, подробна техническа спецификация на активите/услугите, цена, определена в левове или евро с посочен Д</w:t>
      </w:r>
      <w:r>
        <w:rPr>
          <w:rFonts w:ascii="Times New Roman" w:eastAsia="Times New Roman" w:hAnsi="Times New Roman" w:cs="Times New Roman"/>
          <w:sz w:val="24"/>
          <w:szCs w:val="24"/>
          <w:lang w:val="ru-RU" w:eastAsia="bg-BG"/>
        </w:rPr>
        <w:t>ДС.</w:t>
      </w:r>
    </w:p>
    <w:p w14:paraId="42D0CD9F" w14:textId="77777777" w:rsidR="00AD178C" w:rsidRDefault="00AD178C" w:rsidP="00723F8A">
      <w:pPr>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76" w:lineRule="auto"/>
        <w:jc w:val="both"/>
        <w:rPr>
          <w:rFonts w:ascii="Times New Roman" w:eastAsia="Times New Roman" w:hAnsi="Times New Roman" w:cs="Times New Roman"/>
          <w:sz w:val="24"/>
          <w:szCs w:val="24"/>
          <w:lang w:val="ru-RU" w:eastAsia="bg-BG"/>
        </w:rPr>
      </w:pPr>
    </w:p>
    <w:p w14:paraId="6311EE1D" w14:textId="0790F0EB" w:rsidR="00AD178C" w:rsidRDefault="00AD178C" w:rsidP="00AD178C">
      <w:pPr>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76" w:lineRule="auto"/>
        <w:jc w:val="both"/>
        <w:rPr>
          <w:rFonts w:ascii="Times New Roman" w:eastAsia="Times New Roman" w:hAnsi="Times New Roman" w:cs="Times New Roman"/>
          <w:sz w:val="24"/>
          <w:szCs w:val="24"/>
          <w:lang w:val="ru-RU" w:eastAsia="bg-BG"/>
        </w:rPr>
      </w:pPr>
      <w:r w:rsidRPr="00AD178C">
        <w:rPr>
          <w:rFonts w:ascii="Times New Roman" w:eastAsia="Times New Roman" w:hAnsi="Times New Roman" w:cs="Times New Roman"/>
          <w:sz w:val="24"/>
          <w:szCs w:val="24"/>
          <w:lang w:val="ru-RU" w:eastAsia="bg-BG"/>
        </w:rPr>
        <w:t>Когато разходът, за който се кандидатства, не е включен в Списъка с активи, дейности и услуги, за които са определени ре</w:t>
      </w:r>
      <w:r>
        <w:rPr>
          <w:rFonts w:ascii="Times New Roman" w:eastAsia="Times New Roman" w:hAnsi="Times New Roman" w:cs="Times New Roman"/>
          <w:sz w:val="24"/>
          <w:szCs w:val="24"/>
          <w:lang w:val="ru-RU" w:eastAsia="bg-BG"/>
        </w:rPr>
        <w:t xml:space="preserve">ферентни разходи </w:t>
      </w:r>
      <w:r w:rsidR="0089466E">
        <w:rPr>
          <w:rFonts w:ascii="Times New Roman" w:eastAsia="Times New Roman" w:hAnsi="Times New Roman" w:cs="Times New Roman"/>
          <w:sz w:val="24"/>
          <w:szCs w:val="24"/>
          <w:lang w:val="ru-RU" w:eastAsia="bg-BG"/>
        </w:rPr>
        <w:t>(Приложение № 17</w:t>
      </w:r>
      <w:r w:rsidRPr="00AD178C">
        <w:rPr>
          <w:rFonts w:ascii="Times New Roman" w:eastAsia="Times New Roman" w:hAnsi="Times New Roman" w:cs="Times New Roman"/>
          <w:sz w:val="24"/>
          <w:szCs w:val="24"/>
          <w:lang w:val="ru-RU" w:eastAsia="bg-BG"/>
        </w:rPr>
        <w:t>) към датата на подаване на проектното предложение, обосноваността на разходите се преценява чрез представяне на най-малко три съпоставими независими индикативни оферти в оригинал:</w:t>
      </w:r>
    </w:p>
    <w:p w14:paraId="6C3336D3" w14:textId="77777777" w:rsidR="00AD178C" w:rsidRPr="00AD178C" w:rsidRDefault="00AD178C" w:rsidP="00AD178C">
      <w:pPr>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76" w:lineRule="auto"/>
        <w:jc w:val="both"/>
        <w:rPr>
          <w:rFonts w:ascii="Times New Roman" w:eastAsia="Times New Roman" w:hAnsi="Times New Roman" w:cs="Times New Roman"/>
          <w:sz w:val="24"/>
          <w:szCs w:val="24"/>
          <w:lang w:val="ru-RU" w:eastAsia="bg-BG"/>
        </w:rPr>
      </w:pPr>
    </w:p>
    <w:p w14:paraId="41E8A77A" w14:textId="03CB3B83" w:rsidR="00AD178C" w:rsidRPr="00AD178C" w:rsidRDefault="00AD178C" w:rsidP="00AD178C">
      <w:pPr>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76" w:lineRule="auto"/>
        <w:jc w:val="both"/>
        <w:rPr>
          <w:rFonts w:ascii="Times New Roman" w:eastAsia="Times New Roman" w:hAnsi="Times New Roman" w:cs="Times New Roman"/>
          <w:b/>
          <w:sz w:val="24"/>
          <w:szCs w:val="24"/>
          <w:lang w:val="ru-RU" w:eastAsia="bg-BG"/>
        </w:rPr>
      </w:pPr>
      <w:r w:rsidRPr="00AD178C">
        <w:rPr>
          <w:rFonts w:ascii="Times New Roman" w:eastAsia="Times New Roman" w:hAnsi="Times New Roman" w:cs="Times New Roman"/>
          <w:b/>
          <w:sz w:val="24"/>
          <w:szCs w:val="24"/>
          <w:lang w:val="ru-RU" w:eastAsia="bg-BG"/>
        </w:rPr>
        <w:t>За кандидати – възложители по ЗОП</w:t>
      </w:r>
    </w:p>
    <w:p w14:paraId="26B6B1A3" w14:textId="77777777" w:rsidR="00AD178C" w:rsidRPr="00AD178C" w:rsidRDefault="00AD178C" w:rsidP="00AD178C">
      <w:pPr>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76" w:lineRule="auto"/>
        <w:jc w:val="both"/>
        <w:rPr>
          <w:rFonts w:ascii="Times New Roman" w:eastAsia="Times New Roman" w:hAnsi="Times New Roman" w:cs="Times New Roman"/>
          <w:sz w:val="24"/>
          <w:szCs w:val="24"/>
          <w:lang w:val="ru-RU" w:eastAsia="bg-BG"/>
        </w:rPr>
      </w:pPr>
    </w:p>
    <w:p w14:paraId="156DBE1A" w14:textId="77777777" w:rsidR="00AD178C" w:rsidRDefault="00AD178C" w:rsidP="00AD178C">
      <w:pPr>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76" w:lineRule="auto"/>
        <w:jc w:val="both"/>
        <w:rPr>
          <w:rFonts w:ascii="Times New Roman" w:eastAsia="Times New Roman" w:hAnsi="Times New Roman" w:cs="Times New Roman"/>
          <w:sz w:val="24"/>
          <w:szCs w:val="24"/>
          <w:lang w:val="ru-RU" w:eastAsia="bg-BG"/>
        </w:rPr>
      </w:pPr>
      <w:r w:rsidRPr="00AD178C">
        <w:rPr>
          <w:rFonts w:ascii="Times New Roman" w:eastAsia="Times New Roman" w:hAnsi="Times New Roman" w:cs="Times New Roman"/>
          <w:sz w:val="24"/>
          <w:szCs w:val="24"/>
          <w:lang w:val="ru-RU" w:eastAsia="bg-BG"/>
        </w:rPr>
        <w:t xml:space="preserve">Кандидатите, които са възложители по чл. 5 и 6 от Закона за обществените поръчки, събират офертите чрез прилагане на принципа на пазарни консултации съгласно ЗОП, като публикуват на профила на купувача информация относно вида на инвестицията, която ще бъде заявена за финансиране, придружена от техническа спецификация с посочени </w:t>
      </w:r>
      <w:r w:rsidRPr="00AD178C">
        <w:rPr>
          <w:rFonts w:ascii="Times New Roman" w:eastAsia="Times New Roman" w:hAnsi="Times New Roman" w:cs="Times New Roman"/>
          <w:sz w:val="24"/>
          <w:szCs w:val="24"/>
          <w:lang w:val="ru-RU" w:eastAsia="bg-BG"/>
        </w:rPr>
        <w:lastRenderedPageBreak/>
        <w:t>минимални параметри или подробно описание на актива. Кандидатите определят подходящ срок за получаване на оферти, който не може да бъде по-кратък от 5 работни дни. Минималното съдържание на офертите е: наименование на оферента, срок на валидност на офертата, дата на издаване на офертата, подпис и печат на офертата, техническо предложение, ценово предложение в левове с посочен ДДС. Кандидатите представят решение за определяне на стойността на разхода, за който кандидатстват, с включена обосновка за мотивите, обусловили избора му.</w:t>
      </w:r>
    </w:p>
    <w:p w14:paraId="49C971A9" w14:textId="77777777" w:rsidR="00AD178C" w:rsidRDefault="00AD178C" w:rsidP="00AD178C">
      <w:pPr>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76" w:lineRule="auto"/>
        <w:jc w:val="both"/>
        <w:rPr>
          <w:rFonts w:ascii="Times New Roman" w:eastAsia="Times New Roman" w:hAnsi="Times New Roman" w:cs="Times New Roman"/>
          <w:sz w:val="24"/>
          <w:szCs w:val="24"/>
          <w:lang w:val="ru-RU" w:eastAsia="bg-BG"/>
        </w:rPr>
      </w:pPr>
    </w:p>
    <w:p w14:paraId="501A4A1E" w14:textId="77777777" w:rsidR="00AD178C" w:rsidRPr="00AD178C" w:rsidRDefault="00AD178C" w:rsidP="00AD178C">
      <w:pPr>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76" w:lineRule="auto"/>
        <w:jc w:val="both"/>
        <w:rPr>
          <w:rFonts w:ascii="Times New Roman" w:eastAsia="Times New Roman" w:hAnsi="Times New Roman" w:cs="Times New Roman"/>
          <w:sz w:val="24"/>
          <w:szCs w:val="24"/>
          <w:lang w:val="ru-RU" w:eastAsia="bg-BG"/>
        </w:rPr>
      </w:pPr>
    </w:p>
    <w:p w14:paraId="2E22A990" w14:textId="76D62C6B" w:rsidR="00AD178C" w:rsidRDefault="00AD178C" w:rsidP="00AD178C">
      <w:pPr>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76" w:lineRule="auto"/>
        <w:jc w:val="both"/>
        <w:rPr>
          <w:rFonts w:ascii="Times New Roman" w:eastAsia="Times New Roman" w:hAnsi="Times New Roman" w:cs="Times New Roman"/>
          <w:sz w:val="24"/>
          <w:szCs w:val="24"/>
          <w:lang w:val="ru-RU" w:eastAsia="bg-BG"/>
        </w:rPr>
      </w:pPr>
      <w:r w:rsidRPr="00AD178C">
        <w:rPr>
          <w:rFonts w:ascii="Times New Roman" w:eastAsia="Times New Roman" w:hAnsi="Times New Roman" w:cs="Times New Roman"/>
          <w:sz w:val="24"/>
          <w:szCs w:val="24"/>
          <w:lang w:val="ru-RU" w:eastAsia="bg-BG"/>
        </w:rPr>
        <w:t xml:space="preserve">В случаите когато оферентите, когато са местни лица, трябва да са вписани в търговския регистър, а оферентите - чуждестранни лица, следва да представят документ за правосубектност съгласно националното им законодателство. Оферентите на строително-монтажни работи, местни и чуждестранни лица, трябва да бъдат вписани в Централен професионален регистър на строителя съгласно Закона за Камарата на строителите и да могат да извършват строежи и/или отделни видове строителни и монтажни работи от съответната категория съгласно изискванията на чл. 3, ал. 2 от Закона за Камарата на строителите. </w:t>
      </w:r>
    </w:p>
    <w:p w14:paraId="1B9A460E" w14:textId="77777777" w:rsidR="00AD178C" w:rsidRPr="00AD178C" w:rsidRDefault="00AD178C" w:rsidP="00AD178C">
      <w:pPr>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76" w:lineRule="auto"/>
        <w:jc w:val="both"/>
        <w:rPr>
          <w:rFonts w:ascii="Times New Roman" w:eastAsia="Times New Roman" w:hAnsi="Times New Roman" w:cs="Times New Roman"/>
          <w:sz w:val="24"/>
          <w:szCs w:val="24"/>
          <w:lang w:val="ru-RU" w:eastAsia="bg-BG"/>
        </w:rPr>
      </w:pPr>
    </w:p>
    <w:p w14:paraId="02CFC30C" w14:textId="6ED5A9C2" w:rsidR="00AD178C" w:rsidRDefault="00AD178C" w:rsidP="00AD178C">
      <w:pPr>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76" w:lineRule="auto"/>
        <w:jc w:val="both"/>
        <w:rPr>
          <w:rFonts w:ascii="Times New Roman" w:eastAsia="Times New Roman" w:hAnsi="Times New Roman" w:cs="Times New Roman"/>
          <w:sz w:val="24"/>
          <w:szCs w:val="24"/>
          <w:lang w:val="ru-RU" w:eastAsia="bg-BG"/>
        </w:rPr>
      </w:pPr>
      <w:r w:rsidRPr="00AD178C">
        <w:rPr>
          <w:rFonts w:ascii="Times New Roman" w:eastAsia="Times New Roman" w:hAnsi="Times New Roman" w:cs="Times New Roman"/>
          <w:b/>
          <w:sz w:val="24"/>
          <w:szCs w:val="24"/>
          <w:lang w:val="ru-RU" w:eastAsia="bg-BG"/>
        </w:rPr>
        <w:t>За кандидатите, които не са възложители по ЗОП:</w:t>
      </w:r>
    </w:p>
    <w:p w14:paraId="087E42CF" w14:textId="77777777" w:rsidR="00AD178C" w:rsidRPr="00AD178C" w:rsidRDefault="00AD178C" w:rsidP="00AD178C">
      <w:pPr>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76" w:lineRule="auto"/>
        <w:jc w:val="both"/>
        <w:rPr>
          <w:rFonts w:ascii="Times New Roman" w:eastAsia="Times New Roman" w:hAnsi="Times New Roman" w:cs="Times New Roman"/>
          <w:sz w:val="24"/>
          <w:szCs w:val="24"/>
          <w:lang w:val="ru-RU" w:eastAsia="bg-BG"/>
        </w:rPr>
      </w:pPr>
    </w:p>
    <w:p w14:paraId="777A4CA4" w14:textId="10E7B652" w:rsidR="00AD178C" w:rsidRDefault="00AD178C" w:rsidP="00AD178C">
      <w:pPr>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76" w:lineRule="auto"/>
        <w:jc w:val="both"/>
        <w:rPr>
          <w:rFonts w:ascii="Times New Roman" w:eastAsia="Times New Roman" w:hAnsi="Times New Roman" w:cs="Times New Roman"/>
          <w:sz w:val="24"/>
          <w:szCs w:val="24"/>
          <w:lang w:val="ru-RU" w:eastAsia="bg-BG"/>
        </w:rPr>
      </w:pPr>
      <w:r w:rsidRPr="00AD178C">
        <w:rPr>
          <w:rFonts w:ascii="Times New Roman" w:eastAsia="Times New Roman" w:hAnsi="Times New Roman" w:cs="Times New Roman"/>
          <w:sz w:val="24"/>
          <w:szCs w:val="24"/>
          <w:lang w:val="ru-RU" w:eastAsia="bg-BG"/>
        </w:rPr>
        <w:t xml:space="preserve">Кандидатите, които не са възложители по ЗОП извършват пазарно проучване чрез осигуряването на най-малко три съпоставими независими индикативни оферти в оригинал. Индикативните оферти се набират по изпратено запитване за индикативна оферта – съгласно Приложение </w:t>
      </w:r>
      <w:r w:rsidR="00D46603">
        <w:rPr>
          <w:rFonts w:ascii="Times New Roman" w:eastAsia="Times New Roman" w:hAnsi="Times New Roman" w:cs="Times New Roman"/>
          <w:sz w:val="24"/>
          <w:szCs w:val="24"/>
          <w:lang w:val="ru-RU" w:eastAsia="bg-BG"/>
        </w:rPr>
        <w:t xml:space="preserve">№ </w:t>
      </w:r>
      <w:r w:rsidR="00804921">
        <w:rPr>
          <w:rFonts w:ascii="Times New Roman" w:eastAsia="Times New Roman" w:hAnsi="Times New Roman" w:cs="Times New Roman"/>
          <w:sz w:val="24"/>
          <w:szCs w:val="24"/>
          <w:lang w:val="ru-RU" w:eastAsia="bg-BG"/>
        </w:rPr>
        <w:t>1</w:t>
      </w:r>
      <w:r w:rsidR="00A10B0D">
        <w:rPr>
          <w:rFonts w:ascii="Times New Roman" w:eastAsia="Times New Roman" w:hAnsi="Times New Roman" w:cs="Times New Roman"/>
          <w:sz w:val="24"/>
          <w:szCs w:val="24"/>
          <w:lang w:val="ru-RU" w:eastAsia="bg-BG"/>
        </w:rPr>
        <w:t>3</w:t>
      </w:r>
      <w:r w:rsidRPr="00AD178C">
        <w:rPr>
          <w:rFonts w:ascii="Times New Roman" w:eastAsia="Times New Roman" w:hAnsi="Times New Roman" w:cs="Times New Roman"/>
          <w:sz w:val="24"/>
          <w:szCs w:val="24"/>
          <w:lang w:val="ru-RU" w:eastAsia="bg-BG"/>
        </w:rPr>
        <w:t xml:space="preserve"> към Условията за кандидатстване.</w:t>
      </w:r>
    </w:p>
    <w:p w14:paraId="151B4E36" w14:textId="77777777" w:rsidR="00804921" w:rsidRPr="00AD178C" w:rsidRDefault="00804921" w:rsidP="00AD178C">
      <w:pPr>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76" w:lineRule="auto"/>
        <w:jc w:val="both"/>
        <w:rPr>
          <w:rFonts w:ascii="Times New Roman" w:eastAsia="Times New Roman" w:hAnsi="Times New Roman" w:cs="Times New Roman"/>
          <w:sz w:val="24"/>
          <w:szCs w:val="24"/>
          <w:lang w:val="ru-RU" w:eastAsia="bg-BG"/>
        </w:rPr>
      </w:pPr>
    </w:p>
    <w:p w14:paraId="29DB3302" w14:textId="6BB47D82" w:rsidR="00AD178C" w:rsidRDefault="00AD178C" w:rsidP="00AD178C">
      <w:pPr>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76" w:lineRule="auto"/>
        <w:jc w:val="both"/>
        <w:rPr>
          <w:rFonts w:ascii="Times New Roman" w:eastAsia="Times New Roman" w:hAnsi="Times New Roman" w:cs="Times New Roman"/>
          <w:sz w:val="24"/>
          <w:szCs w:val="24"/>
          <w:lang w:val="ru-RU" w:eastAsia="bg-BG"/>
        </w:rPr>
      </w:pPr>
      <w:r w:rsidRPr="00AD178C">
        <w:rPr>
          <w:rFonts w:ascii="Times New Roman" w:eastAsia="Times New Roman" w:hAnsi="Times New Roman" w:cs="Times New Roman"/>
          <w:sz w:val="24"/>
          <w:szCs w:val="24"/>
          <w:lang w:val="ru-RU" w:eastAsia="bg-BG"/>
        </w:rPr>
        <w:t xml:space="preserve">Минималното съдържание на офертите е: наименование на оферента, срок на валидност на офертата, дата на издаване на офертата, подпис и печат на офертата, техническо предложение, ценово предложение в левове с посочен ДДС. Оферентите, когато са местни лица, трябва да са вписани в търговския регистър, а оферентите – чуждестранни лица, следва да представят документ за правосубектност съгласно националното им законодателство. Кандидатът представя и решение за избор на доставчика/изпълнителя, запитване за оферта по образец съгласно приложение № </w:t>
      </w:r>
      <w:r w:rsidR="00804921">
        <w:rPr>
          <w:rFonts w:ascii="Times New Roman" w:eastAsia="Times New Roman" w:hAnsi="Times New Roman" w:cs="Times New Roman"/>
          <w:sz w:val="24"/>
          <w:szCs w:val="24"/>
          <w:lang w:val="ru-RU" w:eastAsia="bg-BG"/>
        </w:rPr>
        <w:t>1</w:t>
      </w:r>
      <w:r w:rsidR="002A55AE">
        <w:rPr>
          <w:rFonts w:ascii="Times New Roman" w:eastAsia="Times New Roman" w:hAnsi="Times New Roman" w:cs="Times New Roman"/>
          <w:sz w:val="24"/>
          <w:szCs w:val="24"/>
          <w:lang w:val="ru-RU" w:eastAsia="bg-BG"/>
        </w:rPr>
        <w:t>3</w:t>
      </w:r>
      <w:r w:rsidRPr="00AD178C">
        <w:rPr>
          <w:rFonts w:ascii="Times New Roman" w:eastAsia="Times New Roman" w:hAnsi="Times New Roman" w:cs="Times New Roman"/>
          <w:sz w:val="24"/>
          <w:szCs w:val="24"/>
          <w:lang w:val="ru-RU" w:eastAsia="bg-BG"/>
        </w:rPr>
        <w:t xml:space="preserve">, а когато не е избрал най-ниската оферта - писмена обосновка за мотивите, обусловили избора му. В тези случаи КППП извършва съпоставка между размера на разхода, посочен във всяка от представените оферти, като одобрява за финансиране разхода до най-ниския му размер, освен ако </w:t>
      </w:r>
      <w:r w:rsidRPr="00AD178C">
        <w:rPr>
          <w:rFonts w:ascii="Times New Roman" w:eastAsia="Times New Roman" w:hAnsi="Times New Roman" w:cs="Times New Roman"/>
          <w:sz w:val="24"/>
          <w:szCs w:val="24"/>
          <w:lang w:val="ru-RU" w:eastAsia="bg-BG"/>
        </w:rPr>
        <w:lastRenderedPageBreak/>
        <w:t>кандидатът е представил мотивирана обосновка за направения избор, основан на икономическите особености и технически решения на строителния метод и/или предоставената услуга.</w:t>
      </w:r>
    </w:p>
    <w:p w14:paraId="7772889C" w14:textId="77777777" w:rsidR="00804921" w:rsidRPr="00AD178C" w:rsidRDefault="00804921" w:rsidP="00AD178C">
      <w:pPr>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76" w:lineRule="auto"/>
        <w:jc w:val="both"/>
        <w:rPr>
          <w:rFonts w:ascii="Times New Roman" w:eastAsia="Times New Roman" w:hAnsi="Times New Roman" w:cs="Times New Roman"/>
          <w:sz w:val="24"/>
          <w:szCs w:val="24"/>
          <w:lang w:val="ru-RU" w:eastAsia="bg-BG"/>
        </w:rPr>
      </w:pPr>
    </w:p>
    <w:p w14:paraId="59408ED8" w14:textId="77777777" w:rsidR="00AD178C" w:rsidRPr="00AD178C" w:rsidRDefault="00AD178C" w:rsidP="00AD178C">
      <w:pPr>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76" w:lineRule="auto"/>
        <w:jc w:val="both"/>
        <w:rPr>
          <w:rFonts w:ascii="Times New Roman" w:eastAsia="Times New Roman" w:hAnsi="Times New Roman" w:cs="Times New Roman"/>
          <w:sz w:val="24"/>
          <w:szCs w:val="24"/>
          <w:lang w:val="ru-RU" w:eastAsia="bg-BG"/>
        </w:rPr>
      </w:pPr>
      <w:r w:rsidRPr="00AD178C">
        <w:rPr>
          <w:rFonts w:ascii="Times New Roman" w:eastAsia="Times New Roman" w:hAnsi="Times New Roman" w:cs="Times New Roman"/>
          <w:sz w:val="24"/>
          <w:szCs w:val="24"/>
          <w:lang w:val="ru-RU" w:eastAsia="bg-BG"/>
        </w:rPr>
        <w:t>Когато оферентите, когато са местни лица, трябва да са вписани в търговския регистър, а оферентите - чуждестранни лица, следва да представят документ за правосубектност съгласно националното им законодателство. Оферентите на строително-монтажни работи, местни и чуждестранни лица, трябва да бъдат вписани в Централен професионален регистър на строителя съгласно Закона за Камарата на строителите и да могат да извършват строежи и/или отделни видове строителни и монтажни работи от съответната категория съгласно изискванията на чл. 3, ал. 2 от Закона за Камарата на строителите.</w:t>
      </w:r>
    </w:p>
    <w:p w14:paraId="779C95A2" w14:textId="17C4B5C0" w:rsidR="00645264" w:rsidRPr="00327E37" w:rsidRDefault="00CF24E1" w:rsidP="00327E37">
      <w:pPr>
        <w:pStyle w:val="Heading2"/>
      </w:pPr>
      <w:bookmarkStart w:id="44" w:name="_Toc534292217"/>
      <w:r w:rsidRPr="00327E37">
        <w:t>14.3</w:t>
      </w:r>
      <w:r w:rsidR="00645264" w:rsidRPr="00327E37">
        <w:t>. Недопустими разходи</w:t>
      </w:r>
      <w:bookmarkEnd w:id="43"/>
      <w:bookmarkEnd w:id="44"/>
    </w:p>
    <w:tbl>
      <w:tblPr>
        <w:tblStyle w:val="TableGrid"/>
        <w:tblW w:w="9640" w:type="dxa"/>
        <w:tblInd w:w="-147" w:type="dxa"/>
        <w:tblLook w:val="04A0" w:firstRow="1" w:lastRow="0" w:firstColumn="1" w:lastColumn="0" w:noHBand="0" w:noVBand="1"/>
      </w:tblPr>
      <w:tblGrid>
        <w:gridCol w:w="9640"/>
      </w:tblGrid>
      <w:tr w:rsidR="00645264" w:rsidRPr="007713C1" w14:paraId="3180B71C" w14:textId="77777777" w:rsidTr="00025F25">
        <w:tc>
          <w:tcPr>
            <w:tcW w:w="9640" w:type="dxa"/>
          </w:tcPr>
          <w:p w14:paraId="4D254F7A" w14:textId="0C3263BD" w:rsidR="00E9046C" w:rsidRPr="00E9046C" w:rsidRDefault="00E9046C" w:rsidP="00E9046C">
            <w:pPr>
              <w:tabs>
                <w:tab w:val="left" w:pos="0"/>
              </w:tabs>
              <w:jc w:val="both"/>
              <w:rPr>
                <w:rFonts w:eastAsiaTheme="minorHAnsi"/>
                <w:color w:val="000000"/>
                <w:sz w:val="24"/>
                <w:szCs w:val="24"/>
                <w:lang w:eastAsia="en-US"/>
              </w:rPr>
            </w:pPr>
            <w:r w:rsidRPr="00E9046C">
              <w:rPr>
                <w:rFonts w:eastAsiaTheme="minorHAnsi"/>
                <w:color w:val="000000"/>
                <w:sz w:val="24"/>
                <w:szCs w:val="24"/>
                <w:lang w:eastAsia="en-US"/>
              </w:rPr>
              <w:t>1. за лихви по дългове;</w:t>
            </w:r>
          </w:p>
          <w:p w14:paraId="2B66DD41" w14:textId="77777777" w:rsidR="00E9046C" w:rsidRPr="00E9046C" w:rsidRDefault="00E9046C" w:rsidP="00E9046C">
            <w:pPr>
              <w:tabs>
                <w:tab w:val="left" w:pos="0"/>
              </w:tabs>
              <w:jc w:val="both"/>
              <w:rPr>
                <w:rFonts w:eastAsiaTheme="minorHAnsi"/>
                <w:color w:val="000000"/>
                <w:sz w:val="24"/>
                <w:szCs w:val="24"/>
                <w:lang w:eastAsia="en-US"/>
              </w:rPr>
            </w:pPr>
            <w:r w:rsidRPr="00E9046C">
              <w:rPr>
                <w:rFonts w:eastAsiaTheme="minorHAnsi"/>
                <w:color w:val="000000"/>
                <w:sz w:val="24"/>
                <w:szCs w:val="24"/>
                <w:lang w:eastAsia="en-US"/>
              </w:rPr>
              <w:t>2. за закупуването на незастроени и застроени земи на стойност над 10 на сто от общите допустими разходи за съответната операция;</w:t>
            </w:r>
          </w:p>
          <w:p w14:paraId="2442C99A" w14:textId="77777777" w:rsidR="00E9046C" w:rsidRPr="00E9046C" w:rsidRDefault="00E9046C" w:rsidP="00E9046C">
            <w:pPr>
              <w:tabs>
                <w:tab w:val="left" w:pos="0"/>
              </w:tabs>
              <w:jc w:val="both"/>
              <w:rPr>
                <w:rFonts w:eastAsiaTheme="minorHAnsi"/>
                <w:color w:val="000000"/>
                <w:sz w:val="24"/>
                <w:szCs w:val="24"/>
                <w:lang w:eastAsia="en-US"/>
              </w:rPr>
            </w:pPr>
            <w:r w:rsidRPr="00E9046C">
              <w:rPr>
                <w:rFonts w:eastAsiaTheme="minorHAnsi"/>
                <w:color w:val="000000"/>
                <w:sz w:val="24"/>
                <w:szCs w:val="24"/>
                <w:lang w:eastAsia="en-US"/>
              </w:rPr>
              <w:t>3. за данък върху добавената стойност освен невъзстановимия;</w:t>
            </w:r>
          </w:p>
          <w:p w14:paraId="313CDB42" w14:textId="77777777" w:rsidR="00E9046C" w:rsidRPr="00E9046C" w:rsidRDefault="00E9046C" w:rsidP="00E9046C">
            <w:pPr>
              <w:tabs>
                <w:tab w:val="left" w:pos="0"/>
              </w:tabs>
              <w:jc w:val="both"/>
              <w:rPr>
                <w:rFonts w:eastAsiaTheme="minorHAnsi"/>
                <w:color w:val="000000"/>
                <w:sz w:val="24"/>
                <w:szCs w:val="24"/>
                <w:lang w:eastAsia="en-US"/>
              </w:rPr>
            </w:pPr>
            <w:r w:rsidRPr="00E9046C">
              <w:rPr>
                <w:rFonts w:eastAsiaTheme="minorHAnsi"/>
                <w:color w:val="000000"/>
                <w:sz w:val="24"/>
                <w:szCs w:val="24"/>
                <w:lang w:eastAsia="en-US"/>
              </w:rPr>
              <w:t>4. за обикновена подмяна и поддръжка;</w:t>
            </w:r>
          </w:p>
          <w:p w14:paraId="06B4434E" w14:textId="77777777" w:rsidR="00614131" w:rsidRDefault="00E9046C" w:rsidP="00E9046C">
            <w:pPr>
              <w:tabs>
                <w:tab w:val="left" w:pos="0"/>
              </w:tabs>
              <w:jc w:val="both"/>
              <w:rPr>
                <w:rFonts w:eastAsiaTheme="minorHAnsi"/>
                <w:color w:val="000000"/>
                <w:sz w:val="24"/>
                <w:szCs w:val="24"/>
                <w:lang w:eastAsia="en-US"/>
              </w:rPr>
            </w:pPr>
            <w:r w:rsidRPr="00E9046C">
              <w:rPr>
                <w:rFonts w:eastAsiaTheme="minorHAnsi"/>
                <w:color w:val="000000"/>
                <w:sz w:val="24"/>
                <w:szCs w:val="24"/>
                <w:lang w:eastAsia="en-US"/>
              </w:rPr>
              <w:t>5. за лихви и комисиони, печалба на лизинговата компания, разходи по лихви за рефинансиране, оперативни и застрахователни разходи по лизингов договор, за банкови такси, разходи за гаранции;</w:t>
            </w:r>
          </w:p>
          <w:p w14:paraId="4C86B006" w14:textId="77777777" w:rsidR="00E9046C" w:rsidRPr="00E9046C" w:rsidRDefault="00E9046C" w:rsidP="00E9046C">
            <w:pPr>
              <w:tabs>
                <w:tab w:val="left" w:pos="0"/>
              </w:tabs>
              <w:jc w:val="both"/>
              <w:rPr>
                <w:rFonts w:eastAsiaTheme="minorHAnsi"/>
                <w:color w:val="000000"/>
                <w:sz w:val="24"/>
                <w:szCs w:val="24"/>
                <w:lang w:eastAsia="en-US"/>
              </w:rPr>
            </w:pPr>
            <w:r w:rsidRPr="00E9046C">
              <w:rPr>
                <w:rFonts w:eastAsiaTheme="minorHAnsi"/>
                <w:color w:val="000000"/>
                <w:sz w:val="24"/>
                <w:szCs w:val="24"/>
                <w:lang w:eastAsia="en-US"/>
              </w:rPr>
              <w:t>6. за лизинг освен финансов лизинг, при който получателят на помощта става собственик на съответния актив не по-късно от датата на подаване на заявка за междинно или окончателно плащане за същия актив;</w:t>
            </w:r>
          </w:p>
          <w:p w14:paraId="661BA1DB" w14:textId="77777777" w:rsidR="00E9046C" w:rsidRPr="00E9046C" w:rsidRDefault="00E9046C" w:rsidP="00E9046C">
            <w:pPr>
              <w:tabs>
                <w:tab w:val="left" w:pos="0"/>
              </w:tabs>
              <w:jc w:val="both"/>
              <w:rPr>
                <w:rFonts w:eastAsiaTheme="minorHAnsi"/>
                <w:color w:val="000000"/>
                <w:sz w:val="24"/>
                <w:szCs w:val="24"/>
                <w:lang w:eastAsia="en-US"/>
              </w:rPr>
            </w:pPr>
            <w:r w:rsidRPr="00E9046C">
              <w:rPr>
                <w:rFonts w:eastAsiaTheme="minorHAnsi"/>
                <w:color w:val="000000"/>
                <w:sz w:val="24"/>
                <w:szCs w:val="24"/>
                <w:lang w:eastAsia="en-US"/>
              </w:rPr>
              <w:t>7. за режийни разходи;</w:t>
            </w:r>
          </w:p>
          <w:p w14:paraId="4D1D39EE" w14:textId="77777777" w:rsidR="00E9046C" w:rsidRPr="00E9046C" w:rsidRDefault="00E9046C" w:rsidP="00E9046C">
            <w:pPr>
              <w:tabs>
                <w:tab w:val="left" w:pos="0"/>
              </w:tabs>
              <w:jc w:val="both"/>
              <w:rPr>
                <w:rFonts w:eastAsiaTheme="minorHAnsi"/>
                <w:color w:val="000000"/>
                <w:sz w:val="24"/>
                <w:szCs w:val="24"/>
                <w:lang w:eastAsia="en-US"/>
              </w:rPr>
            </w:pPr>
            <w:r w:rsidRPr="00E9046C">
              <w:rPr>
                <w:rFonts w:eastAsiaTheme="minorHAnsi"/>
                <w:color w:val="000000"/>
                <w:sz w:val="24"/>
                <w:szCs w:val="24"/>
                <w:lang w:eastAsia="en-US"/>
              </w:rPr>
              <w:t>8. за застраховки;</w:t>
            </w:r>
          </w:p>
          <w:p w14:paraId="75444476" w14:textId="77777777" w:rsidR="00E9046C" w:rsidRPr="00E9046C" w:rsidRDefault="00E9046C" w:rsidP="00E9046C">
            <w:pPr>
              <w:tabs>
                <w:tab w:val="left" w:pos="0"/>
              </w:tabs>
              <w:jc w:val="both"/>
              <w:rPr>
                <w:rFonts w:eastAsiaTheme="minorHAnsi"/>
                <w:color w:val="000000"/>
                <w:sz w:val="24"/>
                <w:szCs w:val="24"/>
                <w:lang w:eastAsia="en-US"/>
              </w:rPr>
            </w:pPr>
            <w:r w:rsidRPr="00E9046C">
              <w:rPr>
                <w:rFonts w:eastAsiaTheme="minorHAnsi"/>
                <w:color w:val="000000"/>
                <w:sz w:val="24"/>
                <w:szCs w:val="24"/>
                <w:lang w:eastAsia="en-US"/>
              </w:rPr>
              <w:t>9. за закупуване на оборудване втора употреба;</w:t>
            </w:r>
          </w:p>
          <w:p w14:paraId="57035D60" w14:textId="77777777" w:rsidR="00E9046C" w:rsidRPr="00E9046C" w:rsidRDefault="00E9046C" w:rsidP="00E9046C">
            <w:pPr>
              <w:tabs>
                <w:tab w:val="left" w:pos="0"/>
              </w:tabs>
              <w:jc w:val="both"/>
              <w:rPr>
                <w:rFonts w:eastAsiaTheme="minorHAnsi"/>
                <w:color w:val="000000"/>
                <w:sz w:val="24"/>
                <w:szCs w:val="24"/>
                <w:lang w:eastAsia="en-US"/>
              </w:rPr>
            </w:pPr>
            <w:r w:rsidRPr="00E9046C">
              <w:rPr>
                <w:rFonts w:eastAsiaTheme="minorHAnsi"/>
                <w:color w:val="000000"/>
                <w:sz w:val="24"/>
                <w:szCs w:val="24"/>
                <w:lang w:eastAsia="en-US"/>
              </w:rPr>
              <w:t>10. извършени преди 1 януари 2014 г.;</w:t>
            </w:r>
          </w:p>
          <w:p w14:paraId="3722051E" w14:textId="77777777" w:rsidR="00E9046C" w:rsidRPr="00E9046C" w:rsidRDefault="00E9046C" w:rsidP="00E9046C">
            <w:pPr>
              <w:tabs>
                <w:tab w:val="left" w:pos="0"/>
              </w:tabs>
              <w:jc w:val="both"/>
              <w:rPr>
                <w:rFonts w:eastAsiaTheme="minorHAnsi"/>
                <w:color w:val="000000"/>
                <w:sz w:val="24"/>
                <w:szCs w:val="24"/>
                <w:lang w:eastAsia="en-US"/>
              </w:rPr>
            </w:pPr>
            <w:r w:rsidRPr="00E9046C">
              <w:rPr>
                <w:rFonts w:eastAsiaTheme="minorHAnsi"/>
                <w:color w:val="000000"/>
                <w:sz w:val="24"/>
                <w:szCs w:val="24"/>
                <w:lang w:eastAsia="en-US"/>
              </w:rPr>
              <w:t>11. за принос в натура;</w:t>
            </w:r>
          </w:p>
          <w:p w14:paraId="2F2B1030" w14:textId="77777777" w:rsidR="00E9046C" w:rsidRPr="00E9046C" w:rsidRDefault="00E9046C" w:rsidP="00E9046C">
            <w:pPr>
              <w:tabs>
                <w:tab w:val="left" w:pos="0"/>
              </w:tabs>
              <w:jc w:val="both"/>
              <w:rPr>
                <w:rFonts w:eastAsiaTheme="minorHAnsi"/>
                <w:color w:val="000000"/>
                <w:sz w:val="24"/>
                <w:szCs w:val="24"/>
                <w:lang w:eastAsia="en-US"/>
              </w:rPr>
            </w:pPr>
            <w:r w:rsidRPr="00E9046C">
              <w:rPr>
                <w:rFonts w:eastAsiaTheme="minorHAnsi"/>
                <w:color w:val="000000"/>
                <w:sz w:val="24"/>
                <w:szCs w:val="24"/>
                <w:lang w:eastAsia="en-US"/>
              </w:rPr>
              <w:t>12. за инвестиции в селското стопанство -закупуване на права за производство и плащане, закупуване на животни, закупуване на едногодишни растения и тяхното засаждане;</w:t>
            </w:r>
          </w:p>
          <w:p w14:paraId="2218D56F" w14:textId="77777777" w:rsidR="00E9046C" w:rsidRPr="00E9046C" w:rsidRDefault="00E9046C" w:rsidP="00E9046C">
            <w:pPr>
              <w:tabs>
                <w:tab w:val="left" w:pos="0"/>
              </w:tabs>
              <w:jc w:val="both"/>
              <w:rPr>
                <w:rFonts w:eastAsiaTheme="minorHAnsi"/>
                <w:color w:val="000000"/>
                <w:sz w:val="24"/>
                <w:szCs w:val="24"/>
                <w:lang w:eastAsia="en-US"/>
              </w:rPr>
            </w:pPr>
            <w:r w:rsidRPr="00E9046C">
              <w:rPr>
                <w:rFonts w:eastAsiaTheme="minorHAnsi"/>
                <w:color w:val="000000"/>
                <w:sz w:val="24"/>
                <w:szCs w:val="24"/>
                <w:lang w:eastAsia="en-US"/>
              </w:rPr>
              <w:t>13. за инвестиция, за която е установено, че ще оказва отрицателно въздействие върху околната среда;</w:t>
            </w:r>
          </w:p>
          <w:p w14:paraId="2DC0CE8E" w14:textId="77777777" w:rsidR="00E9046C" w:rsidRPr="00E9046C" w:rsidRDefault="00E9046C" w:rsidP="00E9046C">
            <w:pPr>
              <w:tabs>
                <w:tab w:val="left" w:pos="0"/>
              </w:tabs>
              <w:jc w:val="both"/>
              <w:rPr>
                <w:rFonts w:eastAsiaTheme="minorHAnsi"/>
                <w:color w:val="000000"/>
                <w:sz w:val="24"/>
                <w:szCs w:val="24"/>
                <w:lang w:eastAsia="en-US"/>
              </w:rPr>
            </w:pPr>
            <w:r w:rsidRPr="00E9046C">
              <w:rPr>
                <w:rFonts w:eastAsiaTheme="minorHAnsi"/>
                <w:color w:val="000000"/>
                <w:sz w:val="24"/>
                <w:szCs w:val="24"/>
                <w:lang w:eastAsia="en-US"/>
              </w:rPr>
              <w:t>14. извършени преди подаването на заявлението за предоставяне на финансова помощ, независимо дали всички свързани плащания са извършени, с изключение на разходите за предпроектни проучвания, такси, възнаграждение на архитекти, инженери и консултантски услуги, извършени след 1 януари 2014 г.;</w:t>
            </w:r>
          </w:p>
          <w:p w14:paraId="58C0DF26" w14:textId="77777777" w:rsidR="00E9046C" w:rsidRPr="00E9046C" w:rsidRDefault="00E9046C" w:rsidP="00CD6823">
            <w:pPr>
              <w:tabs>
                <w:tab w:val="left" w:pos="0"/>
              </w:tabs>
              <w:jc w:val="both"/>
              <w:rPr>
                <w:rFonts w:eastAsiaTheme="minorHAnsi"/>
                <w:color w:val="000000"/>
                <w:sz w:val="24"/>
                <w:szCs w:val="24"/>
                <w:lang w:eastAsia="en-US"/>
              </w:rPr>
            </w:pPr>
            <w:r w:rsidRPr="00E9046C">
              <w:rPr>
                <w:rFonts w:eastAsiaTheme="minorHAnsi"/>
                <w:color w:val="000000"/>
                <w:sz w:val="24"/>
                <w:szCs w:val="24"/>
                <w:lang w:eastAsia="en-US"/>
              </w:rPr>
              <w:lastRenderedPageBreak/>
              <w:t>15. за строително-монтажни работи и за създаване на трайни насаждения, извършени преди посещение на място от МИГ</w:t>
            </w:r>
            <w:r w:rsidR="00B32714">
              <w:rPr>
                <w:rFonts w:eastAsiaTheme="minorHAnsi"/>
                <w:color w:val="000000"/>
                <w:sz w:val="24"/>
                <w:szCs w:val="24"/>
                <w:lang w:eastAsia="en-US"/>
              </w:rPr>
              <w:t>;</w:t>
            </w:r>
          </w:p>
          <w:p w14:paraId="5380B87D" w14:textId="470AE823" w:rsidR="00DC4D0D" w:rsidRDefault="00E9046C" w:rsidP="002B3C9E">
            <w:pPr>
              <w:tabs>
                <w:tab w:val="left" w:pos="0"/>
              </w:tabs>
              <w:jc w:val="both"/>
              <w:rPr>
                <w:rFonts w:eastAsiaTheme="minorHAnsi"/>
                <w:color w:val="000000"/>
                <w:sz w:val="24"/>
                <w:szCs w:val="24"/>
                <w:lang w:eastAsia="en-US"/>
              </w:rPr>
            </w:pPr>
            <w:r w:rsidRPr="00E9046C">
              <w:rPr>
                <w:rFonts w:eastAsiaTheme="minorHAnsi"/>
                <w:color w:val="000000"/>
                <w:sz w:val="24"/>
                <w:szCs w:val="24"/>
                <w:lang w:eastAsia="en-US"/>
              </w:rPr>
              <w:t>1</w:t>
            </w:r>
            <w:r w:rsidR="00CD6823">
              <w:rPr>
                <w:rFonts w:eastAsiaTheme="minorHAnsi"/>
                <w:color w:val="000000"/>
                <w:sz w:val="24"/>
                <w:szCs w:val="24"/>
                <w:lang w:eastAsia="en-US"/>
              </w:rPr>
              <w:t>6</w:t>
            </w:r>
            <w:r w:rsidRPr="00E9046C">
              <w:rPr>
                <w:rFonts w:eastAsiaTheme="minorHAnsi"/>
                <w:color w:val="000000"/>
                <w:sz w:val="24"/>
                <w:szCs w:val="24"/>
                <w:lang w:eastAsia="en-US"/>
              </w:rPr>
              <w:t xml:space="preserve">. </w:t>
            </w:r>
            <w:r w:rsidR="00DC4D0D" w:rsidRPr="00DC4D0D">
              <w:rPr>
                <w:rFonts w:eastAsiaTheme="minorHAnsi"/>
                <w:color w:val="000000"/>
                <w:sz w:val="24"/>
                <w:szCs w:val="24"/>
                <w:lang w:eastAsia="en-US"/>
              </w:rPr>
              <w:t xml:space="preserve">заявени за финансиране, когато надвишават </w:t>
            </w:r>
            <w:r w:rsidR="00DC4D0D">
              <w:rPr>
                <w:rFonts w:eastAsiaTheme="minorHAnsi"/>
                <w:color w:val="000000"/>
                <w:sz w:val="24"/>
                <w:szCs w:val="24"/>
                <w:lang w:eastAsia="en-US"/>
              </w:rPr>
              <w:t>определените референтни разходи;</w:t>
            </w:r>
          </w:p>
          <w:p w14:paraId="263745E2" w14:textId="5DA96815" w:rsidR="00E9046C" w:rsidRPr="00DC4D0D" w:rsidRDefault="00E9046C" w:rsidP="002B3C9E">
            <w:pPr>
              <w:tabs>
                <w:tab w:val="left" w:pos="0"/>
              </w:tabs>
              <w:jc w:val="both"/>
              <w:rPr>
                <w:rFonts w:eastAsiaTheme="minorHAnsi"/>
                <w:color w:val="000000"/>
                <w:sz w:val="24"/>
                <w:szCs w:val="24"/>
                <w:lang w:eastAsia="en-US"/>
              </w:rPr>
            </w:pPr>
            <w:r w:rsidRPr="00E9046C">
              <w:rPr>
                <w:rFonts w:eastAsiaTheme="minorHAnsi"/>
                <w:color w:val="000000"/>
                <w:sz w:val="24"/>
                <w:szCs w:val="24"/>
                <w:lang w:eastAsia="en-US"/>
              </w:rPr>
              <w:t>1</w:t>
            </w:r>
            <w:r w:rsidR="00CD6823">
              <w:rPr>
                <w:rFonts w:eastAsiaTheme="minorHAnsi"/>
                <w:color w:val="000000"/>
                <w:sz w:val="24"/>
                <w:szCs w:val="24"/>
                <w:lang w:eastAsia="en-US"/>
              </w:rPr>
              <w:t>7</w:t>
            </w:r>
            <w:r w:rsidRPr="00E9046C">
              <w:rPr>
                <w:rFonts w:eastAsiaTheme="minorHAnsi"/>
                <w:color w:val="000000"/>
                <w:sz w:val="24"/>
                <w:szCs w:val="24"/>
                <w:lang w:eastAsia="en-US"/>
              </w:rPr>
              <w:t xml:space="preserve">. други недопустими за финансиране разходи, определени в Постановление № </w:t>
            </w:r>
            <w:r w:rsidR="002B3C9E" w:rsidRPr="00E9046C">
              <w:rPr>
                <w:rFonts w:eastAsiaTheme="minorHAnsi"/>
                <w:color w:val="000000"/>
                <w:sz w:val="24"/>
                <w:szCs w:val="24"/>
                <w:lang w:eastAsia="en-US"/>
              </w:rPr>
              <w:t>1</w:t>
            </w:r>
            <w:r w:rsidR="002B3C9E">
              <w:rPr>
                <w:rFonts w:eastAsiaTheme="minorHAnsi"/>
                <w:color w:val="000000"/>
                <w:sz w:val="24"/>
                <w:szCs w:val="24"/>
                <w:lang w:eastAsia="en-US"/>
              </w:rPr>
              <w:t>8</w:t>
            </w:r>
            <w:r w:rsidR="002B3C9E" w:rsidRPr="00E9046C">
              <w:rPr>
                <w:rFonts w:eastAsiaTheme="minorHAnsi"/>
                <w:color w:val="000000"/>
                <w:sz w:val="24"/>
                <w:szCs w:val="24"/>
                <w:lang w:eastAsia="en-US"/>
              </w:rPr>
              <w:t xml:space="preserve">9 </w:t>
            </w:r>
            <w:r w:rsidRPr="00E9046C">
              <w:rPr>
                <w:rFonts w:eastAsiaTheme="minorHAnsi"/>
                <w:color w:val="000000"/>
                <w:sz w:val="24"/>
                <w:szCs w:val="24"/>
                <w:lang w:eastAsia="en-US"/>
              </w:rPr>
              <w:t xml:space="preserve">от </w:t>
            </w:r>
            <w:r w:rsidR="002B3C9E" w:rsidRPr="00E9046C">
              <w:rPr>
                <w:rFonts w:eastAsiaTheme="minorHAnsi"/>
                <w:color w:val="000000"/>
                <w:sz w:val="24"/>
                <w:szCs w:val="24"/>
                <w:lang w:eastAsia="en-US"/>
              </w:rPr>
              <w:t>201</w:t>
            </w:r>
            <w:r w:rsidR="002B3C9E">
              <w:rPr>
                <w:rFonts w:eastAsiaTheme="minorHAnsi"/>
                <w:color w:val="000000"/>
                <w:sz w:val="24"/>
                <w:szCs w:val="24"/>
                <w:lang w:eastAsia="en-US"/>
              </w:rPr>
              <w:t>6</w:t>
            </w:r>
            <w:r w:rsidR="002B3C9E" w:rsidRPr="00E9046C">
              <w:rPr>
                <w:rFonts w:eastAsiaTheme="minorHAnsi"/>
                <w:color w:val="000000"/>
                <w:sz w:val="24"/>
                <w:szCs w:val="24"/>
                <w:lang w:eastAsia="en-US"/>
              </w:rPr>
              <w:t xml:space="preserve"> </w:t>
            </w:r>
            <w:r w:rsidRPr="00E9046C">
              <w:rPr>
                <w:rFonts w:eastAsiaTheme="minorHAnsi"/>
                <w:color w:val="000000"/>
                <w:sz w:val="24"/>
                <w:szCs w:val="24"/>
                <w:lang w:eastAsia="en-US"/>
              </w:rPr>
              <w:t>г. на Министерския съвет</w:t>
            </w:r>
            <w:r w:rsidR="00CD6823">
              <w:rPr>
                <w:rFonts w:eastAsiaTheme="minorHAnsi"/>
                <w:color w:val="000000"/>
                <w:sz w:val="24"/>
                <w:szCs w:val="24"/>
                <w:lang w:eastAsia="en-US"/>
              </w:rPr>
              <w:t>.</w:t>
            </w:r>
          </w:p>
        </w:tc>
      </w:tr>
    </w:tbl>
    <w:p w14:paraId="22DA010D" w14:textId="77777777" w:rsidR="001A0477" w:rsidRDefault="001A0477" w:rsidP="007570DC">
      <w:pPr>
        <w:pStyle w:val="Heading1"/>
      </w:pPr>
      <w:bookmarkStart w:id="45" w:name="_Toc445385596"/>
    </w:p>
    <w:p w14:paraId="31FD7601" w14:textId="77777777" w:rsidR="00CB14EE" w:rsidRPr="007713C1" w:rsidRDefault="001D09EC" w:rsidP="007570DC">
      <w:pPr>
        <w:pStyle w:val="Heading1"/>
      </w:pPr>
      <w:bookmarkStart w:id="46" w:name="_Toc534292218"/>
      <w:r w:rsidRPr="007713C1">
        <w:t>15. Допустими целеви групи :</w:t>
      </w:r>
      <w:bookmarkEnd w:id="45"/>
      <w:bookmarkEnd w:id="46"/>
    </w:p>
    <w:tbl>
      <w:tblPr>
        <w:tblStyle w:val="TableGrid"/>
        <w:tblW w:w="0" w:type="auto"/>
        <w:tblLook w:val="04A0" w:firstRow="1" w:lastRow="0" w:firstColumn="1" w:lastColumn="0" w:noHBand="0" w:noVBand="1"/>
      </w:tblPr>
      <w:tblGrid>
        <w:gridCol w:w="9346"/>
      </w:tblGrid>
      <w:tr w:rsidR="001D09EC" w:rsidRPr="007713C1" w14:paraId="445DE00C" w14:textId="77777777" w:rsidTr="001D09EC">
        <w:tc>
          <w:tcPr>
            <w:tcW w:w="9496" w:type="dxa"/>
          </w:tcPr>
          <w:p w14:paraId="63A4CD1E" w14:textId="77777777" w:rsidR="001D09EC" w:rsidRPr="008B15C0" w:rsidRDefault="00B33636" w:rsidP="008B15C0">
            <w:pPr>
              <w:rPr>
                <w:sz w:val="24"/>
                <w:szCs w:val="24"/>
              </w:rPr>
            </w:pPr>
            <w:bookmarkStart w:id="47" w:name="_Toc481750872"/>
            <w:bookmarkStart w:id="48" w:name="_Toc481751367"/>
            <w:r w:rsidRPr="008B15C0">
              <w:rPr>
                <w:sz w:val="24"/>
                <w:szCs w:val="24"/>
              </w:rPr>
              <w:t>Неприложимо.</w:t>
            </w:r>
            <w:bookmarkEnd w:id="47"/>
            <w:bookmarkEnd w:id="48"/>
          </w:p>
        </w:tc>
      </w:tr>
    </w:tbl>
    <w:p w14:paraId="7A51CBA6" w14:textId="77777777" w:rsidR="00C44672" w:rsidRDefault="00C44672" w:rsidP="007570DC">
      <w:pPr>
        <w:pStyle w:val="Heading1"/>
      </w:pPr>
      <w:bookmarkStart w:id="49" w:name="_Toc445385601"/>
    </w:p>
    <w:p w14:paraId="606918A1" w14:textId="45F5C704" w:rsidR="001D09EC" w:rsidRPr="007713C1" w:rsidRDefault="00C51B04" w:rsidP="007570DC">
      <w:pPr>
        <w:pStyle w:val="Heading1"/>
      </w:pPr>
      <w:bookmarkStart w:id="50" w:name="_Toc534292219"/>
      <w:r>
        <w:t xml:space="preserve">16. Приложим режим на </w:t>
      </w:r>
      <w:r w:rsidR="00C26E17">
        <w:t>минимални</w:t>
      </w:r>
      <w:r w:rsidR="009B4E4D" w:rsidRPr="007713C1">
        <w:t xml:space="preserve"> помощи:</w:t>
      </w:r>
      <w:bookmarkEnd w:id="49"/>
      <w:bookmarkEnd w:id="50"/>
    </w:p>
    <w:tbl>
      <w:tblPr>
        <w:tblStyle w:val="TableGrid"/>
        <w:tblW w:w="9493" w:type="dxa"/>
        <w:tblBorders>
          <w:insideH w:val="none" w:sz="0" w:space="0" w:color="auto"/>
          <w:insideV w:val="none" w:sz="0" w:space="0" w:color="auto"/>
        </w:tblBorders>
        <w:tblLook w:val="04A0" w:firstRow="1" w:lastRow="0" w:firstColumn="1" w:lastColumn="0" w:noHBand="0" w:noVBand="1"/>
      </w:tblPr>
      <w:tblGrid>
        <w:gridCol w:w="9493"/>
      </w:tblGrid>
      <w:tr w:rsidR="009B4E4D" w:rsidRPr="007713C1" w14:paraId="2129C1CE" w14:textId="77777777" w:rsidTr="0005252A">
        <w:tc>
          <w:tcPr>
            <w:tcW w:w="9493" w:type="dxa"/>
          </w:tcPr>
          <w:p w14:paraId="38A301B2" w14:textId="6BD235EE" w:rsidR="00E105F0" w:rsidRPr="00D40488" w:rsidRDefault="00F60917" w:rsidP="00D40488">
            <w:pPr>
              <w:spacing w:after="120"/>
              <w:jc w:val="both"/>
              <w:rPr>
                <w:i/>
                <w:sz w:val="24"/>
                <w:szCs w:val="24"/>
              </w:rPr>
            </w:pPr>
            <w:bookmarkStart w:id="51" w:name="_Toc498430186"/>
            <w:r w:rsidRPr="00D40488">
              <w:rPr>
                <w:b/>
                <w:i/>
                <w:sz w:val="24"/>
                <w:szCs w:val="24"/>
              </w:rPr>
              <w:t>1.</w:t>
            </w:r>
            <w:r w:rsidRPr="00D40488">
              <w:rPr>
                <w:b/>
                <w:i/>
                <w:sz w:val="24"/>
                <w:szCs w:val="24"/>
              </w:rPr>
              <w:tab/>
              <w:t>Строителство, реконструкция и/или рехабилитация на нови и съществуващи общински пътища, улици, тротоари и съоръженията и принадлежностите към тях.</w:t>
            </w:r>
            <w:bookmarkEnd w:id="51"/>
            <w:r w:rsidRPr="00D40488">
              <w:rPr>
                <w:b/>
                <w:i/>
                <w:sz w:val="24"/>
                <w:szCs w:val="24"/>
              </w:rPr>
              <w:t xml:space="preserve"> </w:t>
            </w:r>
            <w:bookmarkStart w:id="52" w:name="_Toc498430187"/>
            <w:r w:rsidR="00E105F0" w:rsidRPr="00D40488">
              <w:rPr>
                <w:b/>
                <w:i/>
                <w:sz w:val="24"/>
                <w:szCs w:val="24"/>
              </w:rPr>
              <w:t xml:space="preserve"> </w:t>
            </w:r>
            <w:r w:rsidRPr="00D40488">
              <w:rPr>
                <w:b/>
                <w:i/>
                <w:sz w:val="24"/>
                <w:szCs w:val="24"/>
              </w:rPr>
              <w:t>Изграждане и/или обновяване на площи, за широко обществено ползване, предназначени за трайно задоволяване на обществени потребности от общинско значение.</w:t>
            </w:r>
            <w:bookmarkEnd w:id="52"/>
          </w:p>
          <w:p w14:paraId="3315E06B" w14:textId="52295537" w:rsidR="00F60917" w:rsidRPr="00E105F0" w:rsidRDefault="00F60917" w:rsidP="00E105F0">
            <w:pPr>
              <w:jc w:val="both"/>
              <w:rPr>
                <w:sz w:val="24"/>
                <w:szCs w:val="24"/>
              </w:rPr>
            </w:pPr>
            <w:bookmarkStart w:id="53" w:name="_Toc498430188"/>
            <w:r w:rsidRPr="00E105F0">
              <w:rPr>
                <w:sz w:val="24"/>
                <w:szCs w:val="24"/>
              </w:rPr>
              <w:t>Общинските улици, тротоари и площите за широко обществено ползване, за чия</w:t>
            </w:r>
            <w:r w:rsidR="00BE51F3">
              <w:rPr>
                <w:sz w:val="24"/>
                <w:szCs w:val="24"/>
              </w:rPr>
              <w:t>то реконструкция и/или рехабилит</w:t>
            </w:r>
            <w:r w:rsidRPr="00E105F0">
              <w:rPr>
                <w:sz w:val="24"/>
                <w:szCs w:val="24"/>
              </w:rPr>
              <w:t>ация, изграждане и/или обновяване може да бъде получено подпомагане, е инфраструктура с неикономическо предназначение и ползване, което е безвъзмездно и общодостъпно. Публичното финансиране на инфраструктура, която не е предназначена за търговска експлоатация, по принцип е изключено от прилагането на правилата за държавна помощ. Естеството на тези дейности не е стопанско и следователно те не попадат в приложното поле на правилата за държавна помощ, както не попада и публичното финансиране за съответната инфраструктура (съгласно точка 203 от Известие на Комисията).</w:t>
            </w:r>
            <w:bookmarkEnd w:id="53"/>
          </w:p>
          <w:p w14:paraId="022F5A77" w14:textId="77777777" w:rsidR="00F60917" w:rsidRPr="00EA40BD" w:rsidRDefault="00F60917" w:rsidP="00CE752F">
            <w:pPr>
              <w:spacing w:before="120" w:after="120"/>
              <w:jc w:val="both"/>
              <w:rPr>
                <w:color w:val="000000" w:themeColor="text1"/>
                <w:sz w:val="24"/>
                <w:szCs w:val="24"/>
              </w:rPr>
            </w:pPr>
            <w:r w:rsidRPr="00EA40BD">
              <w:rPr>
                <w:color w:val="000000" w:themeColor="text1"/>
                <w:sz w:val="24"/>
                <w:szCs w:val="24"/>
              </w:rPr>
              <w:t>Изграждането и поддържането на публичната инфраструктура е изцяло функция на съответните общини при упражняване на правомощията им в качеството на публични органи. Общинските пътища, улици, тротоари и площите за широко обществено ползване се управляват от общините и няма стопански оператор, на който да е възложена експлоатацията им. Тези обекти не са предмет на търговска експлоатация и в този смисъл при управлението им общината не изпълнява икономическа дейност и съответно не представлява предприятие по смисъла на чл. 107 от ДФЕС.</w:t>
            </w:r>
          </w:p>
          <w:p w14:paraId="5DCC42F7" w14:textId="77777777" w:rsidR="00F60917" w:rsidRPr="00EA40BD" w:rsidRDefault="00F60917" w:rsidP="00F60917">
            <w:pPr>
              <w:spacing w:before="120" w:after="120"/>
              <w:jc w:val="both"/>
              <w:rPr>
                <w:b/>
                <w:i/>
                <w:color w:val="000000" w:themeColor="text1"/>
                <w:sz w:val="24"/>
                <w:szCs w:val="24"/>
              </w:rPr>
            </w:pPr>
            <w:r w:rsidRPr="00EA40BD">
              <w:rPr>
                <w:b/>
                <w:i/>
                <w:color w:val="000000" w:themeColor="text1"/>
                <w:sz w:val="24"/>
                <w:szCs w:val="24"/>
              </w:rPr>
              <w:t xml:space="preserve"> 2.</w:t>
            </w:r>
            <w:r w:rsidRPr="00EA40BD">
              <w:rPr>
                <w:b/>
                <w:i/>
                <w:color w:val="000000" w:themeColor="text1"/>
                <w:sz w:val="24"/>
                <w:szCs w:val="24"/>
              </w:rPr>
              <w:tab/>
              <w:t>Реконструкция, ремонт, оборудване и/или обзавеждане на общинска образователна инфраструктура с местно значение в селските райони.</w:t>
            </w:r>
          </w:p>
          <w:p w14:paraId="0031E510" w14:textId="246E2484" w:rsidR="00F60917" w:rsidRPr="00EA40BD" w:rsidRDefault="00F60917" w:rsidP="00F60917">
            <w:pPr>
              <w:spacing w:before="120" w:after="120"/>
              <w:jc w:val="both"/>
              <w:rPr>
                <w:color w:val="000000" w:themeColor="text1"/>
                <w:sz w:val="24"/>
                <w:szCs w:val="24"/>
              </w:rPr>
            </w:pPr>
            <w:r w:rsidRPr="00EA40BD">
              <w:rPr>
                <w:color w:val="000000" w:themeColor="text1"/>
                <w:sz w:val="24"/>
                <w:szCs w:val="24"/>
              </w:rPr>
              <w:t>Общинската образователна инфраструктура е част от общественото образование</w:t>
            </w:r>
            <w:r w:rsidR="00E11072" w:rsidRPr="00EA40BD">
              <w:rPr>
                <w:color w:val="000000" w:themeColor="text1"/>
                <w:sz w:val="24"/>
                <w:szCs w:val="24"/>
              </w:rPr>
              <w:t>,</w:t>
            </w:r>
            <w:r w:rsidRPr="00EA40BD">
              <w:rPr>
                <w:color w:val="000000" w:themeColor="text1"/>
                <w:sz w:val="24"/>
                <w:szCs w:val="24"/>
              </w:rPr>
              <w:t xml:space="preserve"> организирано в рамките на националната образователна система. Обществено </w:t>
            </w:r>
            <w:r w:rsidRPr="00EA40BD">
              <w:rPr>
                <w:color w:val="000000" w:themeColor="text1"/>
                <w:sz w:val="24"/>
                <w:szCs w:val="24"/>
              </w:rPr>
              <w:lastRenderedPageBreak/>
              <w:t>образование, организирано в рамките на националната образователна система и контролирано от държавата, може да се счита за нестопанска дейност, когато държавата, създавайки и поддържайки такава система на публично образование, която се финансира от държавния бюджет, а не от учениците или техните родители, изпълнява своята мисия по отношение на населението в социалната, културната и образователната сфера (съгласно точка 28 от Известие на Комисията).</w:t>
            </w:r>
          </w:p>
          <w:p w14:paraId="307BA0BD" w14:textId="2D127BE7" w:rsidR="00E11072" w:rsidRPr="00EA40BD" w:rsidRDefault="00F60917" w:rsidP="00CE752F">
            <w:pPr>
              <w:spacing w:before="120" w:after="120"/>
              <w:jc w:val="both"/>
              <w:rPr>
                <w:color w:val="000000" w:themeColor="text1"/>
                <w:sz w:val="24"/>
                <w:szCs w:val="24"/>
              </w:rPr>
            </w:pPr>
            <w:r w:rsidRPr="00EA40BD">
              <w:rPr>
                <w:color w:val="000000" w:themeColor="text1"/>
                <w:sz w:val="24"/>
                <w:szCs w:val="24"/>
              </w:rPr>
              <w:t xml:space="preserve">Местните власти са отговорни за предоставянето на образователни услуги в общинските детски градини, училищата и обслужващите звена. </w:t>
            </w:r>
            <w:r w:rsidR="00D33AA9">
              <w:rPr>
                <w:color w:val="000000" w:themeColor="text1"/>
                <w:sz w:val="24"/>
                <w:szCs w:val="24"/>
              </w:rPr>
              <w:t>В съответствие със</w:t>
            </w:r>
            <w:r w:rsidR="00D33AA9" w:rsidRPr="00EA40BD">
              <w:rPr>
                <w:color w:val="000000" w:themeColor="text1"/>
                <w:sz w:val="24"/>
                <w:szCs w:val="24"/>
              </w:rPr>
              <w:t xml:space="preserve"> </w:t>
            </w:r>
            <w:r w:rsidR="0085416D">
              <w:rPr>
                <w:color w:val="000000" w:themeColor="text1"/>
                <w:sz w:val="24"/>
                <w:szCs w:val="24"/>
              </w:rPr>
              <w:t xml:space="preserve">Закона за предучилищното и </w:t>
            </w:r>
            <w:r w:rsidR="00C453DA">
              <w:rPr>
                <w:color w:val="000000" w:themeColor="text1"/>
                <w:sz w:val="24"/>
                <w:szCs w:val="24"/>
              </w:rPr>
              <w:t xml:space="preserve">училишното образование </w:t>
            </w:r>
            <w:r w:rsidRPr="00EA40BD">
              <w:rPr>
                <w:color w:val="000000" w:themeColor="text1"/>
                <w:sz w:val="24"/>
                <w:szCs w:val="24"/>
              </w:rPr>
              <w:t>общините осигуряват и контролират средства за издръжката, изграждането, обзавеждането и основния ремонт на училищата, детските градини и обслужващите звена. В този смисъл обслужването на общинската образователна инфраструктура е възложено на общините и не представлява икономическа дейност и те не отговарят на определението за предприятие.</w:t>
            </w:r>
          </w:p>
          <w:p w14:paraId="5465C182" w14:textId="77777777" w:rsidR="00E11072" w:rsidRPr="00EA40BD" w:rsidRDefault="00E11072" w:rsidP="00E11072">
            <w:pPr>
              <w:spacing w:before="120" w:after="120"/>
              <w:jc w:val="both"/>
              <w:rPr>
                <w:b/>
                <w:i/>
                <w:color w:val="000000" w:themeColor="text1"/>
                <w:sz w:val="24"/>
                <w:szCs w:val="24"/>
              </w:rPr>
            </w:pPr>
            <w:r w:rsidRPr="00EA40BD">
              <w:rPr>
                <w:b/>
                <w:i/>
                <w:color w:val="000000" w:themeColor="text1"/>
                <w:sz w:val="24"/>
                <w:szCs w:val="24"/>
              </w:rPr>
              <w:t>3.</w:t>
            </w:r>
            <w:r w:rsidRPr="00EA40BD">
              <w:rPr>
                <w:b/>
                <w:i/>
                <w:color w:val="000000" w:themeColor="text1"/>
                <w:sz w:val="24"/>
                <w:szCs w:val="24"/>
              </w:rPr>
              <w:tab/>
              <w:t>Реконструкция и/или ремонт на общински сгради, в които се предоставят обществени услуги, с цел подобряване на тяхната енергийна ефективност.</w:t>
            </w:r>
          </w:p>
          <w:p w14:paraId="5EBD7E21" w14:textId="77777777" w:rsidR="00E11072" w:rsidRPr="00EA40BD" w:rsidRDefault="00E11072" w:rsidP="00E11072">
            <w:pPr>
              <w:spacing w:before="120" w:after="120"/>
              <w:jc w:val="both"/>
              <w:rPr>
                <w:color w:val="000000" w:themeColor="text1"/>
                <w:sz w:val="24"/>
                <w:szCs w:val="24"/>
              </w:rPr>
            </w:pPr>
            <w:r w:rsidRPr="00EA40BD">
              <w:rPr>
                <w:color w:val="000000" w:themeColor="text1"/>
                <w:sz w:val="24"/>
                <w:szCs w:val="24"/>
              </w:rPr>
              <w:t xml:space="preserve">Финансовото подпомагане се предоставя за сгради, които са публична собственост и се ползват от съответните администрации за обичайната им управленска/регулаторна дейност, която е с неикономически характер. </w:t>
            </w:r>
          </w:p>
          <w:p w14:paraId="4D5DFD88" w14:textId="77777777" w:rsidR="00E11072" w:rsidRPr="00EA40BD" w:rsidRDefault="00E11072" w:rsidP="00E11072">
            <w:pPr>
              <w:spacing w:after="120"/>
              <w:jc w:val="both"/>
              <w:rPr>
                <w:color w:val="000000" w:themeColor="text1"/>
                <w:sz w:val="24"/>
                <w:szCs w:val="24"/>
              </w:rPr>
            </w:pPr>
            <w:r w:rsidRPr="00EA40BD">
              <w:rPr>
                <w:color w:val="000000" w:themeColor="text1"/>
                <w:sz w:val="24"/>
                <w:szCs w:val="24"/>
              </w:rPr>
              <w:t>Финансовото подпомагане е само за сгради, в които се предоставят обществени услуги.</w:t>
            </w:r>
          </w:p>
          <w:tbl>
            <w:tblPr>
              <w:tblpPr w:leftFromText="141" w:rightFromText="141" w:vertAnchor="text" w:horzAnchor="margin" w:tblpY="3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hemeFill="background2"/>
              <w:tblCellMar>
                <w:left w:w="70" w:type="dxa"/>
                <w:right w:w="70" w:type="dxa"/>
              </w:tblCellMar>
              <w:tblLook w:val="0000" w:firstRow="0" w:lastRow="0" w:firstColumn="0" w:lastColumn="0" w:noHBand="0" w:noVBand="0"/>
            </w:tblPr>
            <w:tblGrid>
              <w:gridCol w:w="9111"/>
            </w:tblGrid>
            <w:tr w:rsidR="00CE6DFD" w14:paraId="1D3D6282" w14:textId="77777777" w:rsidTr="00CE6DFD">
              <w:trPr>
                <w:trHeight w:val="623"/>
              </w:trPr>
              <w:tc>
                <w:tcPr>
                  <w:tcW w:w="9111" w:type="dxa"/>
                  <w:shd w:val="clear" w:color="auto" w:fill="E7E6E6" w:themeFill="background2"/>
                  <w:vAlign w:val="center"/>
                </w:tcPr>
                <w:p w14:paraId="2E736D85" w14:textId="4911AFC0" w:rsidR="00CE6DFD" w:rsidRPr="00CE6DFD" w:rsidRDefault="00CE6DFD" w:rsidP="00113853">
                  <w:pPr>
                    <w:spacing w:after="120"/>
                    <w:jc w:val="both"/>
                    <w:rPr>
                      <w:rFonts w:ascii="Times New Roman" w:hAnsi="Times New Roman" w:cs="Times New Roman"/>
                      <w:color w:val="000000" w:themeColor="text1"/>
                      <w:sz w:val="24"/>
                      <w:szCs w:val="24"/>
                    </w:rPr>
                  </w:pPr>
                  <w:r w:rsidRPr="00CE6DFD">
                    <w:rPr>
                      <w:rFonts w:ascii="Times New Roman" w:hAnsi="Times New Roman" w:cs="Times New Roman"/>
                      <w:color w:val="000000" w:themeColor="text1"/>
                      <w:sz w:val="24"/>
                      <w:szCs w:val="24"/>
                    </w:rPr>
                    <w:t xml:space="preserve">Финансовото подпомагане по дейностите 1, 2 и 3 </w:t>
                  </w:r>
                  <w:r w:rsidRPr="00CE6DFD">
                    <w:rPr>
                      <w:rFonts w:ascii="Times New Roman" w:hAnsi="Times New Roman" w:cs="Times New Roman"/>
                      <w:b/>
                      <w:color w:val="000000" w:themeColor="text1"/>
                      <w:sz w:val="24"/>
                      <w:szCs w:val="24"/>
                    </w:rPr>
                    <w:t>няма да представлява „</w:t>
                  </w:r>
                  <w:r w:rsidR="00113853">
                    <w:rPr>
                      <w:rFonts w:ascii="Times New Roman" w:hAnsi="Times New Roman" w:cs="Times New Roman"/>
                      <w:b/>
                      <w:color w:val="000000" w:themeColor="text1"/>
                      <w:sz w:val="24"/>
                      <w:szCs w:val="24"/>
                    </w:rPr>
                    <w:t>минимална</w:t>
                  </w:r>
                  <w:r w:rsidRPr="00CE6DFD">
                    <w:rPr>
                      <w:rFonts w:ascii="Times New Roman" w:hAnsi="Times New Roman" w:cs="Times New Roman"/>
                      <w:b/>
                      <w:color w:val="000000" w:themeColor="text1"/>
                      <w:sz w:val="24"/>
                      <w:szCs w:val="24"/>
                    </w:rPr>
                    <w:t xml:space="preserve"> помощ“</w:t>
                  </w:r>
                  <w:r w:rsidRPr="00CE6DFD">
                    <w:rPr>
                      <w:rFonts w:ascii="Times New Roman" w:hAnsi="Times New Roman" w:cs="Times New Roman"/>
                      <w:color w:val="000000" w:themeColor="text1"/>
                      <w:sz w:val="24"/>
                      <w:szCs w:val="24"/>
                    </w:rPr>
                    <w:t xml:space="preserve"> по смисъла на </w:t>
                  </w:r>
                  <w:r w:rsidR="00113853">
                    <w:rPr>
                      <w:rFonts w:ascii="Times New Roman" w:hAnsi="Times New Roman" w:cs="Times New Roman"/>
                      <w:color w:val="000000" w:themeColor="text1"/>
                      <w:sz w:val="24"/>
                      <w:szCs w:val="24"/>
                    </w:rPr>
                    <w:t>Регламент (ЕС) № 1407/2013.</w:t>
                  </w:r>
                </w:p>
              </w:tc>
            </w:tr>
          </w:tbl>
          <w:p w14:paraId="1995B4FA" w14:textId="129BB312" w:rsidR="00E11072" w:rsidRDefault="00E11072" w:rsidP="00CE6DFD">
            <w:pPr>
              <w:jc w:val="both"/>
              <w:rPr>
                <w:color w:val="000000" w:themeColor="text1"/>
                <w:sz w:val="24"/>
                <w:szCs w:val="24"/>
              </w:rPr>
            </w:pPr>
          </w:p>
          <w:tbl>
            <w:tblPr>
              <w:tblpPr w:leftFromText="141" w:rightFromText="141" w:vertAnchor="text" w:horzAnchor="margin" w:tblpY="3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hemeFill="background2"/>
              <w:tblCellMar>
                <w:left w:w="70" w:type="dxa"/>
                <w:right w:w="70" w:type="dxa"/>
              </w:tblCellMar>
              <w:tblLook w:val="0000" w:firstRow="0" w:lastRow="0" w:firstColumn="0" w:lastColumn="0" w:noHBand="0" w:noVBand="0"/>
            </w:tblPr>
            <w:tblGrid>
              <w:gridCol w:w="9111"/>
            </w:tblGrid>
            <w:tr w:rsidR="00CE6DFD" w14:paraId="0D73128F" w14:textId="77777777" w:rsidTr="00CE6DFD">
              <w:trPr>
                <w:trHeight w:val="623"/>
              </w:trPr>
              <w:tc>
                <w:tcPr>
                  <w:tcW w:w="9111" w:type="dxa"/>
                  <w:shd w:val="clear" w:color="auto" w:fill="E7E6E6" w:themeFill="background2"/>
                  <w:vAlign w:val="center"/>
                </w:tcPr>
                <w:p w14:paraId="6432D71B" w14:textId="13FBF765" w:rsidR="00CE6DFD" w:rsidRPr="00CE6DFD" w:rsidRDefault="00CE6DFD" w:rsidP="00CE6DFD">
                  <w:pPr>
                    <w:spacing w:after="120"/>
                    <w:jc w:val="both"/>
                    <w:rPr>
                      <w:rFonts w:ascii="Times New Roman" w:hAnsi="Times New Roman" w:cs="Times New Roman"/>
                      <w:color w:val="000000" w:themeColor="text1"/>
                      <w:sz w:val="24"/>
                      <w:szCs w:val="24"/>
                    </w:rPr>
                  </w:pPr>
                  <w:r w:rsidRPr="00CE6DFD">
                    <w:rPr>
                      <w:rFonts w:ascii="Times New Roman" w:hAnsi="Times New Roman" w:cs="Times New Roman"/>
                      <w:b/>
                      <w:color w:val="000000" w:themeColor="text1"/>
                      <w:sz w:val="24"/>
                      <w:szCs w:val="24"/>
                    </w:rPr>
                    <w:t>ВАЖНО!</w:t>
                  </w:r>
                  <w:r w:rsidRPr="00CE6DFD">
                    <w:rPr>
                      <w:rFonts w:ascii="Times New Roman" w:hAnsi="Times New Roman" w:cs="Times New Roman"/>
                      <w:color w:val="000000" w:themeColor="text1"/>
                      <w:sz w:val="24"/>
                      <w:szCs w:val="24"/>
                    </w:rPr>
                    <w:t xml:space="preserve"> Община Поморие </w:t>
                  </w:r>
                  <w:r w:rsidR="0085416D">
                    <w:rPr>
                      <w:rFonts w:ascii="Times New Roman" w:hAnsi="Times New Roman" w:cs="Times New Roman"/>
                      <w:color w:val="000000" w:themeColor="text1"/>
                      <w:sz w:val="24"/>
                      <w:szCs w:val="24"/>
                    </w:rPr>
                    <w:t xml:space="preserve">не може да ползва сградите, обект на интервенция за икономически дейности, вкл. да ги отдава под наем. </w:t>
                  </w:r>
                  <w:r w:rsidRPr="00CE6DFD">
                    <w:rPr>
                      <w:rFonts w:ascii="Times New Roman" w:hAnsi="Times New Roman" w:cs="Times New Roman"/>
                      <w:color w:val="000000" w:themeColor="text1"/>
                      <w:sz w:val="24"/>
                      <w:szCs w:val="24"/>
                    </w:rPr>
                    <w:t>В противен случай общината ще изпълнява икономическа дейност и съответно ще представлява предприятие по смисъла чл. 107 от ДФЕС</w:t>
                  </w:r>
                  <w:r w:rsidR="00945DBC">
                    <w:rPr>
                      <w:rFonts w:ascii="Times New Roman" w:hAnsi="Times New Roman" w:cs="Times New Roman"/>
                      <w:color w:val="000000" w:themeColor="text1"/>
                      <w:sz w:val="24"/>
                      <w:szCs w:val="24"/>
                    </w:rPr>
                    <w:t>.</w:t>
                  </w:r>
                </w:p>
              </w:tc>
            </w:tr>
          </w:tbl>
          <w:p w14:paraId="203DE6B8" w14:textId="2464B086" w:rsidR="00714D13" w:rsidRDefault="00714D13" w:rsidP="00CE6DFD">
            <w:pPr>
              <w:jc w:val="both"/>
              <w:rPr>
                <w:color w:val="FF0000"/>
                <w:sz w:val="24"/>
                <w:szCs w:val="24"/>
              </w:rPr>
            </w:pPr>
          </w:p>
          <w:p w14:paraId="5E2EA30C" w14:textId="77777777" w:rsidR="00CE6DFD" w:rsidRPr="00CE6DFD" w:rsidRDefault="00CE6DFD" w:rsidP="00CE6DFD">
            <w:pPr>
              <w:jc w:val="both"/>
              <w:rPr>
                <w:b/>
                <w:i/>
                <w:color w:val="000000" w:themeColor="text1"/>
                <w:sz w:val="24"/>
                <w:szCs w:val="24"/>
              </w:rPr>
            </w:pPr>
            <w:r w:rsidRPr="00CE6DFD">
              <w:rPr>
                <w:b/>
                <w:i/>
                <w:color w:val="000000" w:themeColor="text1"/>
                <w:sz w:val="24"/>
                <w:szCs w:val="24"/>
              </w:rPr>
              <w:t>4.</w:t>
            </w:r>
            <w:r w:rsidRPr="00CE6DFD">
              <w:rPr>
                <w:b/>
                <w:i/>
                <w:color w:val="000000" w:themeColor="text1"/>
                <w:sz w:val="24"/>
                <w:szCs w:val="24"/>
              </w:rPr>
              <w:tab/>
              <w:t xml:space="preserve"> А) Изграждане, реконструкция, ремонт, оборудване и/или обзавеждане на социална инфраструктура за предоставяне на услуги, които не са част от процеса на деинституционализация на деца или възрастни, включително транспортни средства.</w:t>
            </w:r>
          </w:p>
          <w:p w14:paraId="3E31FCAB" w14:textId="7BB0E85B" w:rsidR="00CE6DFD" w:rsidRPr="00CE6DFD" w:rsidRDefault="00CE6DFD" w:rsidP="00CE6DFD">
            <w:pPr>
              <w:jc w:val="both"/>
              <w:rPr>
                <w:b/>
                <w:i/>
                <w:color w:val="000000" w:themeColor="text1"/>
                <w:sz w:val="24"/>
                <w:szCs w:val="24"/>
              </w:rPr>
            </w:pPr>
            <w:r w:rsidRPr="00CE6DFD">
              <w:rPr>
                <w:b/>
                <w:i/>
                <w:color w:val="000000" w:themeColor="text1"/>
                <w:sz w:val="24"/>
                <w:szCs w:val="24"/>
              </w:rPr>
              <w:t xml:space="preserve">           Б) Изграждане, реконструкция, ремонт, оборудване и/или обзавеждане на спортна инфраструктура;</w:t>
            </w:r>
          </w:p>
          <w:p w14:paraId="01C8F5E4" w14:textId="4CCEE0D8" w:rsidR="00CE6DFD" w:rsidRDefault="00CE6DFD" w:rsidP="00945DBC">
            <w:pPr>
              <w:spacing w:after="120"/>
              <w:jc w:val="both"/>
              <w:rPr>
                <w:b/>
                <w:i/>
                <w:color w:val="000000" w:themeColor="text1"/>
                <w:sz w:val="24"/>
                <w:szCs w:val="24"/>
              </w:rPr>
            </w:pPr>
            <w:r w:rsidRPr="00CE6DFD">
              <w:rPr>
                <w:b/>
                <w:i/>
                <w:color w:val="000000" w:themeColor="text1"/>
                <w:sz w:val="24"/>
                <w:szCs w:val="24"/>
              </w:rPr>
              <w:t xml:space="preserve">           В) Изграждане, реконструкция, ремонт, реставрация, закупуване на оборудване и/или обзавеждане на обекти, свързани с културния живот, вкл. мобилни такива, вкл. </w:t>
            </w:r>
            <w:r w:rsidRPr="00CE6DFD">
              <w:rPr>
                <w:b/>
                <w:i/>
                <w:color w:val="000000" w:themeColor="text1"/>
                <w:sz w:val="24"/>
                <w:szCs w:val="24"/>
              </w:rPr>
              <w:lastRenderedPageBreak/>
              <w:t>и дейности по вертикалната планировка и подобряване на прилежащите пространства.</w:t>
            </w:r>
          </w:p>
          <w:p w14:paraId="64AEB37D" w14:textId="1392855C" w:rsidR="00FD62C9" w:rsidRDefault="00FD62C9" w:rsidP="00FD62C9">
            <w:pPr>
              <w:jc w:val="both"/>
              <w:rPr>
                <w:sz w:val="24"/>
                <w:szCs w:val="24"/>
                <w:highlight w:val="white"/>
                <w:shd w:val="clear" w:color="auto" w:fill="FEFEFE"/>
              </w:rPr>
            </w:pPr>
            <w:r w:rsidRPr="00FD62C9">
              <w:rPr>
                <w:sz w:val="24"/>
                <w:szCs w:val="24"/>
                <w:highlight w:val="white"/>
                <w:shd w:val="clear" w:color="auto" w:fill="FEFEFE"/>
              </w:rPr>
              <w:t xml:space="preserve">За </w:t>
            </w:r>
            <w:r w:rsidRPr="00FD62C9">
              <w:rPr>
                <w:sz w:val="24"/>
                <w:szCs w:val="24"/>
                <w:shd w:val="clear" w:color="auto" w:fill="FEFEFE"/>
              </w:rPr>
              <w:t xml:space="preserve">дейност 4, подточки А), Б) и В) </w:t>
            </w:r>
            <w:r w:rsidRPr="00FD62C9">
              <w:rPr>
                <w:sz w:val="24"/>
                <w:szCs w:val="24"/>
                <w:highlight w:val="white"/>
                <w:shd w:val="clear" w:color="auto" w:fill="FEFEFE"/>
              </w:rPr>
              <w:t>може да се определят два режима: „непомощ“ и „помощ“.</w:t>
            </w:r>
          </w:p>
          <w:p w14:paraId="7712CD38" w14:textId="77777777" w:rsidR="00FD62C9" w:rsidRPr="00FD62C9" w:rsidRDefault="00FD62C9" w:rsidP="00FD62C9">
            <w:pPr>
              <w:jc w:val="both"/>
              <w:rPr>
                <w:i/>
                <w:sz w:val="24"/>
                <w:szCs w:val="24"/>
                <w:highlight w:val="white"/>
                <w:shd w:val="clear" w:color="auto" w:fill="FEFEFE"/>
              </w:rPr>
            </w:pPr>
          </w:p>
          <w:p w14:paraId="251EAB72" w14:textId="5A2E58AC" w:rsidR="007C444B" w:rsidRDefault="00FD62C9" w:rsidP="00FD62C9">
            <w:pPr>
              <w:pBdr>
                <w:top w:val="single" w:sz="4" w:space="1" w:color="auto"/>
                <w:left w:val="single" w:sz="4" w:space="4" w:color="auto"/>
                <w:bottom w:val="single" w:sz="4" w:space="1" w:color="auto"/>
                <w:right w:val="single" w:sz="4" w:space="4" w:color="auto"/>
              </w:pBdr>
              <w:shd w:val="clear" w:color="auto" w:fill="BFBFBF"/>
              <w:contextualSpacing/>
              <w:jc w:val="both"/>
              <w:rPr>
                <w:rFonts w:eastAsia="Calibri"/>
                <w:b/>
                <w:sz w:val="24"/>
                <w:szCs w:val="24"/>
              </w:rPr>
            </w:pPr>
            <w:r w:rsidRPr="00FD62C9">
              <w:rPr>
                <w:rFonts w:eastAsia="Calibri"/>
                <w:b/>
                <w:sz w:val="24"/>
                <w:szCs w:val="24"/>
              </w:rPr>
              <w:t>За определянето на съответния режим е необходимо кандидатите да представят Декларация за генериране на</w:t>
            </w:r>
            <w:r w:rsidR="002A55AE">
              <w:rPr>
                <w:rFonts w:eastAsia="Calibri"/>
                <w:b/>
                <w:sz w:val="24"/>
                <w:szCs w:val="24"/>
              </w:rPr>
              <w:t xml:space="preserve"> нетни приходи  (Приложение № 8</w:t>
            </w:r>
            <w:r w:rsidRPr="00FD62C9">
              <w:rPr>
                <w:rFonts w:eastAsia="Calibri"/>
                <w:b/>
                <w:sz w:val="24"/>
                <w:szCs w:val="24"/>
              </w:rPr>
              <w:t xml:space="preserve"> към Условията за кандидатстване), с годишен финансово-счетоводен отчет, от който да е видно финансово-счетоводно (в т. ч. аналитично) обособяване на икономическата и неикономическа дейност (неприложимо за общини). </w:t>
            </w:r>
          </w:p>
          <w:p w14:paraId="41F7E57D" w14:textId="77777777" w:rsidR="007C444B" w:rsidRDefault="007C444B" w:rsidP="00FD62C9">
            <w:pPr>
              <w:pBdr>
                <w:top w:val="single" w:sz="4" w:space="1" w:color="auto"/>
                <w:left w:val="single" w:sz="4" w:space="4" w:color="auto"/>
                <w:bottom w:val="single" w:sz="4" w:space="1" w:color="auto"/>
                <w:right w:val="single" w:sz="4" w:space="4" w:color="auto"/>
              </w:pBdr>
              <w:shd w:val="clear" w:color="auto" w:fill="BFBFBF"/>
              <w:contextualSpacing/>
              <w:jc w:val="both"/>
              <w:rPr>
                <w:rFonts w:eastAsia="Calibri"/>
                <w:b/>
                <w:sz w:val="24"/>
                <w:szCs w:val="24"/>
              </w:rPr>
            </w:pPr>
          </w:p>
          <w:p w14:paraId="3F03FB1D" w14:textId="77777777" w:rsidR="00FD62C9" w:rsidRPr="00FD62C9" w:rsidRDefault="00FD62C9" w:rsidP="00FD62C9">
            <w:pPr>
              <w:tabs>
                <w:tab w:val="left" w:pos="851"/>
              </w:tabs>
              <w:ind w:hanging="108"/>
              <w:jc w:val="both"/>
              <w:rPr>
                <w:i/>
                <w:sz w:val="24"/>
                <w:szCs w:val="24"/>
                <w:highlight w:val="white"/>
                <w:u w:val="single"/>
                <w:shd w:val="clear" w:color="auto" w:fill="FEFEFE"/>
              </w:rPr>
            </w:pPr>
          </w:p>
          <w:p w14:paraId="16C56041" w14:textId="77777777" w:rsidR="00FD62C9" w:rsidRDefault="00FD62C9" w:rsidP="00FD62C9">
            <w:pPr>
              <w:widowControl w:val="0"/>
              <w:tabs>
                <w:tab w:val="left" w:pos="851"/>
              </w:tabs>
              <w:autoSpaceDE w:val="0"/>
              <w:autoSpaceDN w:val="0"/>
              <w:adjustRightInd w:val="0"/>
              <w:ind w:left="567" w:hanging="108"/>
              <w:jc w:val="both"/>
              <w:rPr>
                <w:sz w:val="24"/>
                <w:szCs w:val="24"/>
                <w:highlight w:val="white"/>
                <w:u w:val="single"/>
                <w:shd w:val="clear" w:color="auto" w:fill="FEFEFE"/>
              </w:rPr>
            </w:pPr>
            <w:r w:rsidRPr="00FD62C9">
              <w:rPr>
                <w:sz w:val="24"/>
                <w:szCs w:val="24"/>
                <w:highlight w:val="white"/>
                <w:u w:val="single"/>
                <w:shd w:val="clear" w:color="auto" w:fill="FEFEFE"/>
              </w:rPr>
              <w:t xml:space="preserve">Определяне на финансовото подпомагане като </w:t>
            </w:r>
            <w:r w:rsidRPr="00FD62C9">
              <w:rPr>
                <w:b/>
                <w:sz w:val="24"/>
                <w:szCs w:val="24"/>
                <w:highlight w:val="white"/>
                <w:u w:val="single"/>
                <w:shd w:val="clear" w:color="auto" w:fill="FEFEFE"/>
              </w:rPr>
              <w:t>„непомощ“.</w:t>
            </w:r>
            <w:r w:rsidRPr="00FD62C9">
              <w:rPr>
                <w:sz w:val="24"/>
                <w:szCs w:val="24"/>
                <w:highlight w:val="white"/>
                <w:u w:val="single"/>
                <w:shd w:val="clear" w:color="auto" w:fill="FEFEFE"/>
              </w:rPr>
              <w:t xml:space="preserve"> </w:t>
            </w:r>
          </w:p>
          <w:p w14:paraId="021787C8" w14:textId="77777777" w:rsidR="00232674" w:rsidRDefault="00232674" w:rsidP="00250470">
            <w:pPr>
              <w:spacing w:line="360" w:lineRule="auto"/>
              <w:jc w:val="both"/>
              <w:rPr>
                <w:sz w:val="24"/>
                <w:szCs w:val="24"/>
                <w:highlight w:val="white"/>
                <w:shd w:val="clear" w:color="auto" w:fill="FEFEFE"/>
              </w:rPr>
            </w:pPr>
          </w:p>
          <w:p w14:paraId="0975E012" w14:textId="77777777" w:rsidR="00232674" w:rsidRPr="00A54524" w:rsidRDefault="00232674" w:rsidP="00250470">
            <w:pPr>
              <w:spacing w:line="360" w:lineRule="auto"/>
              <w:jc w:val="both"/>
              <w:rPr>
                <w:i/>
                <w:sz w:val="24"/>
                <w:szCs w:val="24"/>
                <w:highlight w:val="white"/>
                <w:shd w:val="clear" w:color="auto" w:fill="FEFEFE"/>
              </w:rPr>
            </w:pPr>
            <w:r w:rsidRPr="00A54524">
              <w:rPr>
                <w:sz w:val="24"/>
                <w:szCs w:val="24"/>
                <w:highlight w:val="white"/>
                <w:shd w:val="clear" w:color="auto" w:fill="FEFEFE"/>
              </w:rPr>
              <w:t>В случай на финансово подпомагане когато:</w:t>
            </w:r>
          </w:p>
          <w:p w14:paraId="0A21BAEE" w14:textId="77777777" w:rsidR="00232674" w:rsidRPr="00A54524" w:rsidRDefault="00232674" w:rsidP="00232674">
            <w:pPr>
              <w:widowControl w:val="0"/>
              <w:numPr>
                <w:ilvl w:val="0"/>
                <w:numId w:val="19"/>
              </w:numPr>
              <w:tabs>
                <w:tab w:val="left" w:pos="851"/>
              </w:tabs>
              <w:autoSpaceDE w:val="0"/>
              <w:autoSpaceDN w:val="0"/>
              <w:adjustRightInd w:val="0"/>
              <w:spacing w:line="360" w:lineRule="auto"/>
              <w:ind w:left="0" w:firstLine="567"/>
              <w:jc w:val="both"/>
              <w:rPr>
                <w:i/>
                <w:sz w:val="24"/>
                <w:szCs w:val="24"/>
                <w:highlight w:val="white"/>
                <w:shd w:val="clear" w:color="auto" w:fill="FEFEFE"/>
              </w:rPr>
            </w:pPr>
            <w:r>
              <w:rPr>
                <w:sz w:val="24"/>
                <w:szCs w:val="24"/>
                <w:highlight w:val="white"/>
                <w:shd w:val="clear" w:color="auto" w:fill="FEFEFE"/>
              </w:rPr>
              <w:t>и</w:t>
            </w:r>
            <w:r w:rsidRPr="00A54524">
              <w:rPr>
                <w:sz w:val="24"/>
                <w:szCs w:val="24"/>
                <w:highlight w:val="white"/>
                <w:shd w:val="clear" w:color="auto" w:fill="FEFEFE"/>
              </w:rPr>
              <w:t xml:space="preserve">нтервенциите са върху публични общински сгради от социалната или спортна инфраструктура, която е общинска собственост; </w:t>
            </w:r>
          </w:p>
          <w:p w14:paraId="4B0CEC44" w14:textId="77777777" w:rsidR="00232674" w:rsidRPr="00A54524" w:rsidRDefault="00232674" w:rsidP="00232674">
            <w:pPr>
              <w:widowControl w:val="0"/>
              <w:numPr>
                <w:ilvl w:val="0"/>
                <w:numId w:val="19"/>
              </w:numPr>
              <w:tabs>
                <w:tab w:val="left" w:pos="851"/>
              </w:tabs>
              <w:autoSpaceDE w:val="0"/>
              <w:autoSpaceDN w:val="0"/>
              <w:adjustRightInd w:val="0"/>
              <w:spacing w:line="360" w:lineRule="auto"/>
              <w:ind w:left="0" w:firstLine="567"/>
              <w:jc w:val="both"/>
              <w:rPr>
                <w:i/>
                <w:sz w:val="24"/>
                <w:szCs w:val="24"/>
                <w:highlight w:val="white"/>
                <w:shd w:val="clear" w:color="auto" w:fill="FEFEFE"/>
              </w:rPr>
            </w:pPr>
            <w:r>
              <w:rPr>
                <w:sz w:val="24"/>
                <w:szCs w:val="24"/>
                <w:highlight w:val="white"/>
                <w:shd w:val="clear" w:color="auto" w:fill="FEFEFE"/>
              </w:rPr>
              <w:t>и</w:t>
            </w:r>
            <w:r w:rsidRPr="00A54524">
              <w:rPr>
                <w:sz w:val="24"/>
                <w:szCs w:val="24"/>
                <w:highlight w:val="white"/>
                <w:shd w:val="clear" w:color="auto" w:fill="FEFEFE"/>
              </w:rPr>
              <w:t>нтервенциите са върху обекти</w:t>
            </w:r>
            <w:r>
              <w:rPr>
                <w:sz w:val="24"/>
                <w:szCs w:val="24"/>
                <w:highlight w:val="white"/>
                <w:shd w:val="clear" w:color="auto" w:fill="FEFEFE"/>
              </w:rPr>
              <w:t>,</w:t>
            </w:r>
            <w:r w:rsidRPr="00A54524">
              <w:rPr>
                <w:sz w:val="24"/>
                <w:szCs w:val="24"/>
                <w:highlight w:val="white"/>
                <w:shd w:val="clear" w:color="auto" w:fill="FEFEFE"/>
              </w:rPr>
              <w:t xml:space="preserve"> свързани с културния живот, които са общинска собственост, читалища</w:t>
            </w:r>
            <w:r>
              <w:rPr>
                <w:sz w:val="24"/>
                <w:szCs w:val="24"/>
                <w:highlight w:val="white"/>
                <w:shd w:val="clear" w:color="auto" w:fill="FEFEFE"/>
              </w:rPr>
              <w:t>,</w:t>
            </w:r>
            <w:r w:rsidRPr="00A54524">
              <w:rPr>
                <w:sz w:val="24"/>
                <w:szCs w:val="24"/>
                <w:highlight w:val="white"/>
                <w:shd w:val="clear" w:color="auto" w:fill="FEFEFE"/>
              </w:rPr>
              <w:t xml:space="preserve"> музеи и библиотеки, архелогически обекти и др.;</w:t>
            </w:r>
          </w:p>
          <w:p w14:paraId="49D0C232" w14:textId="77777777" w:rsidR="00232674" w:rsidRPr="00A54524" w:rsidRDefault="00232674" w:rsidP="00232674">
            <w:pPr>
              <w:widowControl w:val="0"/>
              <w:numPr>
                <w:ilvl w:val="0"/>
                <w:numId w:val="19"/>
              </w:numPr>
              <w:tabs>
                <w:tab w:val="left" w:pos="851"/>
              </w:tabs>
              <w:autoSpaceDE w:val="0"/>
              <w:autoSpaceDN w:val="0"/>
              <w:adjustRightInd w:val="0"/>
              <w:spacing w:line="360" w:lineRule="auto"/>
              <w:ind w:left="0" w:firstLine="567"/>
              <w:jc w:val="both"/>
              <w:rPr>
                <w:i/>
                <w:sz w:val="24"/>
                <w:szCs w:val="24"/>
                <w:highlight w:val="white"/>
                <w:shd w:val="clear" w:color="auto" w:fill="FEFEFE"/>
              </w:rPr>
            </w:pPr>
            <w:r>
              <w:rPr>
                <w:sz w:val="24"/>
                <w:szCs w:val="24"/>
                <w:highlight w:val="white"/>
                <w:shd w:val="clear" w:color="auto" w:fill="FEFEFE"/>
              </w:rPr>
              <w:t>с</w:t>
            </w:r>
            <w:r w:rsidRPr="00A54524">
              <w:rPr>
                <w:sz w:val="24"/>
                <w:szCs w:val="24"/>
                <w:highlight w:val="white"/>
                <w:shd w:val="clear" w:color="auto" w:fill="FEFEFE"/>
              </w:rPr>
              <w:t>оциалната инфраструктура е за предоставяне на услуги с неикономически характер;</w:t>
            </w:r>
          </w:p>
          <w:p w14:paraId="68B6DBAB" w14:textId="77777777" w:rsidR="00232674" w:rsidRPr="00A54524" w:rsidRDefault="00232674" w:rsidP="00232674">
            <w:pPr>
              <w:widowControl w:val="0"/>
              <w:numPr>
                <w:ilvl w:val="0"/>
                <w:numId w:val="19"/>
              </w:numPr>
              <w:tabs>
                <w:tab w:val="left" w:pos="851"/>
              </w:tabs>
              <w:autoSpaceDE w:val="0"/>
              <w:autoSpaceDN w:val="0"/>
              <w:adjustRightInd w:val="0"/>
              <w:spacing w:line="360" w:lineRule="auto"/>
              <w:ind w:left="0" w:firstLine="567"/>
              <w:jc w:val="both"/>
              <w:rPr>
                <w:i/>
                <w:sz w:val="24"/>
                <w:szCs w:val="24"/>
                <w:highlight w:val="white"/>
                <w:shd w:val="clear" w:color="auto" w:fill="FEFEFE"/>
              </w:rPr>
            </w:pPr>
            <w:r>
              <w:rPr>
                <w:sz w:val="24"/>
                <w:szCs w:val="24"/>
                <w:highlight w:val="white"/>
                <w:shd w:val="clear" w:color="auto" w:fill="FEFEFE"/>
              </w:rPr>
              <w:t>с</w:t>
            </w:r>
            <w:r w:rsidRPr="00A54524">
              <w:rPr>
                <w:sz w:val="24"/>
                <w:szCs w:val="24"/>
                <w:highlight w:val="white"/>
                <w:shd w:val="clear" w:color="auto" w:fill="FEFEFE"/>
              </w:rPr>
              <w:t>порната инфраструктура е за услуги със свободен обществен достъп и с неикономически характер;</w:t>
            </w:r>
          </w:p>
          <w:p w14:paraId="4A16115A" w14:textId="77777777" w:rsidR="00232674" w:rsidRPr="00A54524" w:rsidRDefault="00232674" w:rsidP="00232674">
            <w:pPr>
              <w:widowControl w:val="0"/>
              <w:numPr>
                <w:ilvl w:val="0"/>
                <w:numId w:val="19"/>
              </w:numPr>
              <w:tabs>
                <w:tab w:val="left" w:pos="851"/>
              </w:tabs>
              <w:autoSpaceDE w:val="0"/>
              <w:autoSpaceDN w:val="0"/>
              <w:adjustRightInd w:val="0"/>
              <w:spacing w:line="360" w:lineRule="auto"/>
              <w:ind w:left="0" w:firstLine="567"/>
              <w:jc w:val="both"/>
              <w:rPr>
                <w:i/>
                <w:sz w:val="24"/>
                <w:szCs w:val="24"/>
                <w:highlight w:val="white"/>
                <w:shd w:val="clear" w:color="auto" w:fill="FEFEFE"/>
              </w:rPr>
            </w:pPr>
            <w:r>
              <w:rPr>
                <w:sz w:val="24"/>
                <w:szCs w:val="24"/>
                <w:highlight w:val="white"/>
                <w:shd w:val="clear" w:color="auto" w:fill="FEFEFE"/>
              </w:rPr>
              <w:t>д</w:t>
            </w:r>
            <w:r w:rsidRPr="00A54524">
              <w:rPr>
                <w:sz w:val="24"/>
                <w:szCs w:val="24"/>
                <w:highlight w:val="white"/>
                <w:shd w:val="clear" w:color="auto" w:fill="FEFEFE"/>
              </w:rPr>
              <w:t>ейностите в тези културни обекти са организирани по нетърговски начин и са от нестопанско естество</w:t>
            </w:r>
            <w:r>
              <w:rPr>
                <w:sz w:val="24"/>
                <w:szCs w:val="24"/>
                <w:highlight w:val="white"/>
                <w:shd w:val="clear" w:color="auto" w:fill="FEFEFE"/>
              </w:rPr>
              <w:t>;</w:t>
            </w:r>
          </w:p>
          <w:p w14:paraId="486E48DA" w14:textId="38D7D8CD" w:rsidR="00232674" w:rsidRPr="00232674" w:rsidRDefault="00232674" w:rsidP="00250470">
            <w:pPr>
              <w:widowControl w:val="0"/>
              <w:numPr>
                <w:ilvl w:val="0"/>
                <w:numId w:val="19"/>
              </w:numPr>
              <w:tabs>
                <w:tab w:val="left" w:pos="851"/>
              </w:tabs>
              <w:autoSpaceDE w:val="0"/>
              <w:autoSpaceDN w:val="0"/>
              <w:adjustRightInd w:val="0"/>
              <w:spacing w:line="360" w:lineRule="auto"/>
              <w:ind w:left="0" w:firstLine="567"/>
              <w:jc w:val="both"/>
              <w:rPr>
                <w:i/>
                <w:sz w:val="24"/>
                <w:szCs w:val="24"/>
                <w:highlight w:val="white"/>
                <w:shd w:val="clear" w:color="auto" w:fill="FEFEFE"/>
              </w:rPr>
            </w:pPr>
            <w:r w:rsidRPr="00A54524">
              <w:rPr>
                <w:sz w:val="24"/>
                <w:szCs w:val="24"/>
                <w:highlight w:val="white"/>
                <w:shd w:val="clear" w:color="auto" w:fill="FEFEFE"/>
              </w:rPr>
              <w:t>и интервенцията има изключително локално въздействие и е предназначена за ползване само от населението в границите на населени места от</w:t>
            </w:r>
            <w:r>
              <w:rPr>
                <w:sz w:val="24"/>
                <w:szCs w:val="24"/>
                <w:highlight w:val="white"/>
                <w:shd w:val="clear" w:color="auto" w:fill="FEFEFE"/>
              </w:rPr>
              <w:t xml:space="preserve"> общината от територията на МИГ Поморие.</w:t>
            </w:r>
          </w:p>
          <w:p w14:paraId="36DBBDA9" w14:textId="2BE539B5" w:rsidR="00FD62C9" w:rsidRDefault="00FD62C9" w:rsidP="00FD62C9">
            <w:pPr>
              <w:contextualSpacing/>
              <w:jc w:val="both"/>
              <w:rPr>
                <w:rFonts w:eastAsia="Calibri"/>
                <w:sz w:val="24"/>
                <w:szCs w:val="24"/>
              </w:rPr>
            </w:pPr>
            <w:r w:rsidRPr="00FD62C9">
              <w:rPr>
                <w:rFonts w:eastAsia="Calibri"/>
                <w:sz w:val="24"/>
                <w:szCs w:val="24"/>
              </w:rPr>
              <w:t xml:space="preserve">Подпомагането по тези дейности в рамките на стратегията за Водено от общностите местно развитие има изключително локално въздействие и води до подобряване на условията за живот само на територията на МИГ </w:t>
            </w:r>
            <w:r w:rsidR="00232674">
              <w:rPr>
                <w:rFonts w:eastAsia="Calibri"/>
                <w:sz w:val="24"/>
                <w:szCs w:val="24"/>
              </w:rPr>
              <w:t>Поморие.</w:t>
            </w:r>
          </w:p>
          <w:p w14:paraId="4BA50E35" w14:textId="77777777" w:rsidR="00232674" w:rsidRPr="00FD62C9" w:rsidRDefault="00232674" w:rsidP="00FD62C9">
            <w:pPr>
              <w:contextualSpacing/>
              <w:jc w:val="both"/>
              <w:rPr>
                <w:rFonts w:eastAsia="Calibri"/>
                <w:i/>
                <w:iCs/>
                <w:sz w:val="24"/>
                <w:szCs w:val="24"/>
              </w:rPr>
            </w:pPr>
          </w:p>
          <w:p w14:paraId="13E3A933" w14:textId="383B3A0E" w:rsidR="00232674" w:rsidRDefault="00FD62C9" w:rsidP="00FD62C9">
            <w:pPr>
              <w:contextualSpacing/>
              <w:jc w:val="both"/>
              <w:rPr>
                <w:rFonts w:eastAsia="Calibri"/>
                <w:sz w:val="24"/>
                <w:szCs w:val="24"/>
              </w:rPr>
            </w:pPr>
            <w:r w:rsidRPr="00FD62C9">
              <w:rPr>
                <w:rFonts w:eastAsia="Calibri"/>
                <w:sz w:val="24"/>
                <w:szCs w:val="24"/>
              </w:rPr>
              <w:lastRenderedPageBreak/>
              <w:t xml:space="preserve">Публичното подпомагане на предприятията представлява държавна помощ по смисъла на чл. 107, параграф 1 от ДФЕС, само доколкото „засяга търговията между държавите членки“. В случая на това подпомагане, то има чисто местно въздействие и следователно не оказва въздействие върху търговията между държавите членки. В тези случаи бенефициентът доставя стоки и услуги в ограничен район на дадена държава членка и е малко вероятно да привлече клиенти от други държави членки и мярката няма влияние върху условията на трансграничните инвестиции (съгласно точка 196 от Известие на Комисията ). </w:t>
            </w:r>
          </w:p>
          <w:p w14:paraId="532EFF14" w14:textId="77777777" w:rsidR="00677AB1" w:rsidRDefault="00677AB1" w:rsidP="00FD62C9">
            <w:pPr>
              <w:contextualSpacing/>
              <w:jc w:val="both"/>
              <w:rPr>
                <w:rFonts w:eastAsia="Calibri"/>
                <w:sz w:val="24"/>
                <w:szCs w:val="24"/>
              </w:rPr>
            </w:pPr>
          </w:p>
          <w:p w14:paraId="4CFC93DB" w14:textId="77777777" w:rsidR="00677AB1" w:rsidRPr="00677AB1" w:rsidRDefault="00677AB1" w:rsidP="00FD62C9">
            <w:pPr>
              <w:contextualSpacing/>
              <w:jc w:val="both"/>
              <w:rPr>
                <w:rFonts w:eastAsia="Calibri"/>
                <w:b/>
                <w:sz w:val="24"/>
                <w:szCs w:val="24"/>
              </w:rPr>
            </w:pPr>
            <w:r w:rsidRPr="00677AB1">
              <w:rPr>
                <w:rFonts w:eastAsia="Calibri"/>
                <w:b/>
                <w:sz w:val="24"/>
                <w:szCs w:val="24"/>
              </w:rPr>
              <w:t>ВАЖНО!</w:t>
            </w:r>
          </w:p>
          <w:p w14:paraId="10C1207D" w14:textId="77777777" w:rsidR="00677AB1" w:rsidRDefault="00677AB1" w:rsidP="00FD62C9">
            <w:pPr>
              <w:contextualSpacing/>
              <w:jc w:val="both"/>
              <w:rPr>
                <w:rFonts w:eastAsia="Calibri"/>
                <w:i/>
                <w:iCs/>
                <w:sz w:val="24"/>
                <w:szCs w:val="24"/>
              </w:rPr>
            </w:pPr>
          </w:p>
          <w:p w14:paraId="1A2E9DE3" w14:textId="7989D548" w:rsidR="007C444B" w:rsidRPr="007C444B" w:rsidRDefault="007C444B" w:rsidP="00FD62C9">
            <w:pPr>
              <w:contextualSpacing/>
              <w:jc w:val="both"/>
              <w:rPr>
                <w:rFonts w:eastAsia="Calibri"/>
                <w:b/>
                <w:iCs/>
                <w:sz w:val="24"/>
                <w:szCs w:val="24"/>
              </w:rPr>
            </w:pPr>
            <w:r w:rsidRPr="007C444B">
              <w:rPr>
                <w:rFonts w:eastAsia="Calibri"/>
                <w:b/>
                <w:iCs/>
                <w:sz w:val="24"/>
                <w:szCs w:val="24"/>
              </w:rPr>
              <w:t>В случай на кандидатстване по дейност 4, подточки А), Б) и В) и при определяне на режим „непомощ“ община Поморие следва да представи освен Декларация за генериране на нетни приходи и обосновка във Формуляра за кандидатстване, т. 11. Допълнителна информация, от която да е видно, че предвидените за изпълнение дейности са с неикономически характер.</w:t>
            </w:r>
          </w:p>
          <w:p w14:paraId="37C823DE" w14:textId="77777777" w:rsidR="007C444B" w:rsidRPr="00FD62C9" w:rsidRDefault="007C444B" w:rsidP="00FD62C9">
            <w:pPr>
              <w:contextualSpacing/>
              <w:jc w:val="both"/>
              <w:rPr>
                <w:rFonts w:eastAsia="Calibri"/>
                <w:i/>
                <w:iCs/>
                <w:sz w:val="24"/>
                <w:szCs w:val="24"/>
              </w:rPr>
            </w:pPr>
          </w:p>
          <w:p w14:paraId="7249A239" w14:textId="77777777" w:rsidR="00FD62C9" w:rsidRPr="007C444B" w:rsidRDefault="00FD62C9" w:rsidP="00FD62C9">
            <w:pPr>
              <w:contextualSpacing/>
              <w:jc w:val="both"/>
              <w:rPr>
                <w:rFonts w:eastAsia="Calibri"/>
                <w:b/>
                <w:sz w:val="24"/>
                <w:szCs w:val="24"/>
              </w:rPr>
            </w:pPr>
            <w:r w:rsidRPr="00FD62C9">
              <w:rPr>
                <w:rFonts w:eastAsia="Calibri"/>
                <w:b/>
                <w:sz w:val="24"/>
                <w:szCs w:val="24"/>
              </w:rPr>
              <w:t xml:space="preserve">В случай на финансово подпомагане само за нестопански дейности от бенефициенти лица, регистрирани по реда на Закона за юридическите лица с нестопанска цел или по Закона за народните читалища, съгласно чл. 10, ал. 3 от Наредба № 22, чл. 107 и 108 от ДФЕС не се прилагат. </w:t>
            </w:r>
          </w:p>
          <w:p w14:paraId="11DDC034" w14:textId="77777777" w:rsidR="00FD62C9" w:rsidRPr="00FD62C9" w:rsidRDefault="00FD62C9" w:rsidP="00FD62C9">
            <w:pPr>
              <w:contextualSpacing/>
              <w:jc w:val="both"/>
              <w:rPr>
                <w:rFonts w:eastAsia="Calibri"/>
                <w:i/>
                <w:iCs/>
                <w:sz w:val="24"/>
                <w:szCs w:val="24"/>
              </w:rPr>
            </w:pPr>
          </w:p>
          <w:p w14:paraId="0DE164EA" w14:textId="77777777" w:rsidR="00FD62C9" w:rsidRPr="00FD62C9" w:rsidRDefault="00FD62C9" w:rsidP="00FD62C9">
            <w:pPr>
              <w:pBdr>
                <w:top w:val="single" w:sz="4" w:space="2" w:color="auto"/>
                <w:left w:val="single" w:sz="4" w:space="4" w:color="auto"/>
                <w:bottom w:val="single" w:sz="4" w:space="1" w:color="auto"/>
                <w:right w:val="single" w:sz="4" w:space="4" w:color="auto"/>
              </w:pBdr>
              <w:shd w:val="clear" w:color="auto" w:fill="BFBFBF"/>
              <w:contextualSpacing/>
              <w:jc w:val="both"/>
              <w:rPr>
                <w:rFonts w:eastAsia="Calibri"/>
                <w:i/>
                <w:iCs/>
                <w:sz w:val="24"/>
                <w:szCs w:val="24"/>
              </w:rPr>
            </w:pPr>
            <w:r w:rsidRPr="00FD62C9">
              <w:rPr>
                <w:rFonts w:eastAsia="Calibri"/>
                <w:sz w:val="24"/>
                <w:szCs w:val="24"/>
              </w:rPr>
              <w:t xml:space="preserve">Финансовото подпомагане по горецитираните дейности </w:t>
            </w:r>
            <w:r w:rsidRPr="00FD62C9">
              <w:rPr>
                <w:rFonts w:eastAsia="Calibri"/>
                <w:b/>
                <w:sz w:val="24"/>
                <w:szCs w:val="24"/>
              </w:rPr>
              <w:t>няма да представлява „държавна помощ“</w:t>
            </w:r>
            <w:r w:rsidRPr="00FD62C9">
              <w:rPr>
                <w:rFonts w:eastAsia="Calibri"/>
                <w:sz w:val="24"/>
                <w:szCs w:val="24"/>
              </w:rPr>
              <w:t xml:space="preserve"> по смисъла на чл. 107, параграф 1 от ДФЕС.</w:t>
            </w:r>
          </w:p>
          <w:p w14:paraId="1AE91065" w14:textId="77777777" w:rsidR="00FD62C9" w:rsidRDefault="00FD62C9" w:rsidP="00FD62C9">
            <w:pPr>
              <w:contextualSpacing/>
              <w:jc w:val="both"/>
              <w:rPr>
                <w:rFonts w:eastAsia="Calibri"/>
                <w:i/>
                <w:iCs/>
                <w:sz w:val="24"/>
                <w:szCs w:val="24"/>
              </w:rPr>
            </w:pPr>
          </w:p>
          <w:p w14:paraId="4F726BE1" w14:textId="77777777" w:rsidR="00FD62C9" w:rsidRPr="00FD62C9" w:rsidRDefault="00FD62C9" w:rsidP="00FD62C9">
            <w:pPr>
              <w:contextualSpacing/>
              <w:jc w:val="both"/>
              <w:rPr>
                <w:rFonts w:eastAsia="Calibri"/>
                <w:i/>
                <w:iCs/>
                <w:sz w:val="24"/>
                <w:szCs w:val="24"/>
              </w:rPr>
            </w:pPr>
          </w:p>
          <w:p w14:paraId="7A26ACAF" w14:textId="77777777" w:rsidR="00FD62C9" w:rsidRDefault="00FD62C9" w:rsidP="00FD62C9">
            <w:pPr>
              <w:widowControl w:val="0"/>
              <w:tabs>
                <w:tab w:val="left" w:pos="851"/>
              </w:tabs>
              <w:autoSpaceDE w:val="0"/>
              <w:autoSpaceDN w:val="0"/>
              <w:adjustRightInd w:val="0"/>
              <w:ind w:left="567"/>
              <w:jc w:val="both"/>
              <w:rPr>
                <w:b/>
                <w:sz w:val="24"/>
                <w:szCs w:val="24"/>
                <w:highlight w:val="white"/>
                <w:u w:val="single"/>
                <w:shd w:val="clear" w:color="auto" w:fill="FEFEFE"/>
              </w:rPr>
            </w:pPr>
            <w:r w:rsidRPr="00FD62C9">
              <w:rPr>
                <w:sz w:val="24"/>
                <w:szCs w:val="24"/>
                <w:highlight w:val="white"/>
                <w:u w:val="single"/>
                <w:shd w:val="clear" w:color="auto" w:fill="FEFEFE"/>
              </w:rPr>
              <w:t xml:space="preserve">Определяне на финансовото подпомагане като </w:t>
            </w:r>
            <w:r w:rsidRPr="00FD62C9">
              <w:rPr>
                <w:b/>
                <w:sz w:val="24"/>
                <w:szCs w:val="24"/>
                <w:highlight w:val="white"/>
                <w:u w:val="single"/>
                <w:shd w:val="clear" w:color="auto" w:fill="FEFEFE"/>
              </w:rPr>
              <w:t>„помощ“.</w:t>
            </w:r>
          </w:p>
          <w:p w14:paraId="73A16E54" w14:textId="77777777" w:rsidR="00FD62C9" w:rsidRPr="00FD62C9" w:rsidRDefault="00FD62C9" w:rsidP="00FD62C9">
            <w:pPr>
              <w:widowControl w:val="0"/>
              <w:tabs>
                <w:tab w:val="left" w:pos="851"/>
              </w:tabs>
              <w:autoSpaceDE w:val="0"/>
              <w:autoSpaceDN w:val="0"/>
              <w:adjustRightInd w:val="0"/>
              <w:ind w:left="567"/>
              <w:jc w:val="both"/>
              <w:rPr>
                <w:i/>
                <w:sz w:val="24"/>
                <w:szCs w:val="24"/>
                <w:highlight w:val="white"/>
                <w:u w:val="single"/>
                <w:shd w:val="clear" w:color="auto" w:fill="FEFEFE"/>
              </w:rPr>
            </w:pPr>
          </w:p>
          <w:p w14:paraId="38BBA60B" w14:textId="77777777" w:rsidR="00FD62C9" w:rsidRDefault="00FD62C9" w:rsidP="00FD62C9">
            <w:pPr>
              <w:contextualSpacing/>
              <w:jc w:val="both"/>
              <w:rPr>
                <w:rFonts w:eastAsia="Calibri"/>
                <w:sz w:val="24"/>
                <w:szCs w:val="24"/>
              </w:rPr>
            </w:pPr>
            <w:r w:rsidRPr="00FD62C9">
              <w:rPr>
                <w:rFonts w:eastAsia="Calibri"/>
                <w:sz w:val="24"/>
                <w:szCs w:val="24"/>
              </w:rPr>
              <w:t xml:space="preserve">Финансовата помощ за тези дейности, когато бенефициентът действа като „предприятие“ и извършва икономически дейности, </w:t>
            </w:r>
            <w:r w:rsidRPr="00FD62C9">
              <w:rPr>
                <w:rFonts w:eastAsia="Calibri"/>
                <w:b/>
                <w:sz w:val="24"/>
                <w:szCs w:val="24"/>
              </w:rPr>
              <w:t>представлява „държавна помощ“</w:t>
            </w:r>
            <w:r w:rsidRPr="00FD62C9">
              <w:rPr>
                <w:rFonts w:eastAsia="Calibri"/>
                <w:sz w:val="24"/>
                <w:szCs w:val="24"/>
              </w:rPr>
              <w:t xml:space="preserve"> по смисъла на чл. 107, параграф 1 от ДФЕС. </w:t>
            </w:r>
          </w:p>
          <w:p w14:paraId="72672C41" w14:textId="77777777" w:rsidR="0005252A" w:rsidRDefault="0005252A" w:rsidP="00FD62C9">
            <w:pPr>
              <w:contextualSpacing/>
              <w:jc w:val="both"/>
              <w:rPr>
                <w:rFonts w:eastAsia="Calibri"/>
                <w:sz w:val="24"/>
                <w:szCs w:val="24"/>
              </w:rPr>
            </w:pPr>
          </w:p>
          <w:p w14:paraId="45341E6F" w14:textId="77777777" w:rsidR="0005252A" w:rsidRPr="00C45CCE" w:rsidRDefault="0005252A" w:rsidP="0005252A">
            <w:pPr>
              <w:spacing w:after="160" w:line="259" w:lineRule="auto"/>
              <w:jc w:val="both"/>
              <w:rPr>
                <w:rFonts w:eastAsia="Calibri"/>
                <w:b/>
                <w:sz w:val="24"/>
                <w:szCs w:val="24"/>
              </w:rPr>
            </w:pPr>
            <w:r>
              <w:rPr>
                <w:b/>
                <w:sz w:val="24"/>
                <w:szCs w:val="24"/>
              </w:rPr>
              <w:t>ВАЖНО!</w:t>
            </w:r>
          </w:p>
          <w:p w14:paraId="040C5D80" w14:textId="77777777" w:rsidR="00062953" w:rsidRDefault="0005252A" w:rsidP="00062953">
            <w:pPr>
              <w:spacing w:before="120"/>
              <w:contextualSpacing/>
              <w:jc w:val="both"/>
              <w:rPr>
                <w:rFonts w:eastAsia="Calibri"/>
                <w:sz w:val="24"/>
                <w:szCs w:val="24"/>
              </w:rPr>
            </w:pPr>
            <w:r w:rsidRPr="00C45CCE">
              <w:rPr>
                <w:b/>
                <w:sz w:val="24"/>
                <w:szCs w:val="24"/>
                <w:lang w:val="ru-RU"/>
              </w:rPr>
              <w:t>За всички интервенции, когато бенефициентът действа като „предприятие“:</w:t>
            </w:r>
            <w:r w:rsidR="00062953" w:rsidRPr="00062953">
              <w:rPr>
                <w:rFonts w:eastAsia="Calibri"/>
                <w:sz w:val="24"/>
                <w:szCs w:val="24"/>
              </w:rPr>
              <w:t xml:space="preserve"> </w:t>
            </w:r>
          </w:p>
          <w:p w14:paraId="51872FA2" w14:textId="77777777" w:rsidR="00062953" w:rsidRPr="00062953" w:rsidRDefault="00062953" w:rsidP="00062953">
            <w:pPr>
              <w:spacing w:before="120"/>
              <w:contextualSpacing/>
              <w:jc w:val="both"/>
              <w:rPr>
                <w:rFonts w:eastAsia="Calibri"/>
                <w:sz w:val="24"/>
                <w:szCs w:val="24"/>
              </w:rPr>
            </w:pPr>
          </w:p>
          <w:p w14:paraId="4A3B393C" w14:textId="2C0285A1" w:rsidR="00062953" w:rsidRPr="008552BC" w:rsidRDefault="00062953" w:rsidP="00062953">
            <w:pPr>
              <w:widowControl w:val="0"/>
              <w:numPr>
                <w:ilvl w:val="0"/>
                <w:numId w:val="20"/>
              </w:numPr>
              <w:autoSpaceDE w:val="0"/>
              <w:autoSpaceDN w:val="0"/>
              <w:adjustRightInd w:val="0"/>
              <w:spacing w:before="120" w:after="200" w:line="276" w:lineRule="auto"/>
              <w:contextualSpacing/>
              <w:jc w:val="both"/>
              <w:rPr>
                <w:rFonts w:eastAsia="Calibri"/>
                <w:sz w:val="24"/>
                <w:szCs w:val="24"/>
              </w:rPr>
            </w:pPr>
            <w:r w:rsidRPr="008552BC">
              <w:rPr>
                <w:rFonts w:eastAsia="Calibri"/>
                <w:sz w:val="24"/>
                <w:szCs w:val="24"/>
              </w:rPr>
              <w:t>Прилага се Регламент № 1407/2013 за помощите представяни на предприятията от всички сектори с изключение на тези посочени в чл. 1</w:t>
            </w:r>
            <w:r w:rsidR="00DE672D">
              <w:rPr>
                <w:rFonts w:eastAsia="Calibri"/>
                <w:sz w:val="24"/>
                <w:szCs w:val="24"/>
                <w:lang w:val="en-US"/>
              </w:rPr>
              <w:t xml:space="preserve">, </w:t>
            </w:r>
            <w:r w:rsidR="00DE672D">
              <w:rPr>
                <w:rFonts w:eastAsia="Calibri"/>
                <w:sz w:val="24"/>
                <w:szCs w:val="24"/>
              </w:rPr>
              <w:t>пар.1, б. „а“, „б“, „в“ и „г“</w:t>
            </w:r>
            <w:r w:rsidRPr="008552BC">
              <w:rPr>
                <w:rFonts w:eastAsia="Calibri"/>
                <w:sz w:val="24"/>
                <w:szCs w:val="24"/>
              </w:rPr>
              <w:t xml:space="preserve"> и определенията за тях в чл. 2, пар. 1 на Регламента.</w:t>
            </w:r>
          </w:p>
          <w:p w14:paraId="5D0F9567" w14:textId="77777777" w:rsidR="00062953" w:rsidRPr="00062953" w:rsidRDefault="00062953" w:rsidP="00062953">
            <w:pPr>
              <w:spacing w:before="120"/>
              <w:jc w:val="both"/>
              <w:rPr>
                <w:rFonts w:eastAsia="Calibri"/>
                <w:sz w:val="24"/>
                <w:szCs w:val="24"/>
              </w:rPr>
            </w:pPr>
            <w:r w:rsidRPr="00062953">
              <w:rPr>
                <w:rFonts w:eastAsia="Calibri"/>
                <w:sz w:val="24"/>
                <w:szCs w:val="24"/>
              </w:rPr>
              <w:lastRenderedPageBreak/>
              <w:t>Предоставянето на помощта не може да е обвързано с преференциалното използване на национални продукти спрямо вносни такива.</w:t>
            </w:r>
          </w:p>
          <w:p w14:paraId="39E36BC2" w14:textId="77777777" w:rsidR="00062953" w:rsidRPr="00062953" w:rsidRDefault="00062953" w:rsidP="00062953">
            <w:pPr>
              <w:widowControl w:val="0"/>
              <w:numPr>
                <w:ilvl w:val="0"/>
                <w:numId w:val="20"/>
              </w:numPr>
              <w:autoSpaceDE w:val="0"/>
              <w:autoSpaceDN w:val="0"/>
              <w:adjustRightInd w:val="0"/>
              <w:spacing w:before="120" w:after="200" w:line="276" w:lineRule="auto"/>
              <w:contextualSpacing/>
              <w:jc w:val="both"/>
              <w:rPr>
                <w:rFonts w:eastAsia="Calibri"/>
                <w:sz w:val="24"/>
                <w:szCs w:val="24"/>
              </w:rPr>
            </w:pPr>
            <w:r w:rsidRPr="00062953">
              <w:rPr>
                <w:rFonts w:eastAsia="Calibri"/>
                <w:sz w:val="24"/>
                <w:szCs w:val="24"/>
              </w:rPr>
              <w:t>Общият размер на помощта de minimis, предоставена на едно и също предприятие, не може да надхвърля левовата равностойност на 200 000 евро за период от три бюджетни години.</w:t>
            </w:r>
          </w:p>
          <w:p w14:paraId="64A9B50F" w14:textId="77777777" w:rsidR="00062953" w:rsidRPr="00062953" w:rsidRDefault="00062953" w:rsidP="00062953">
            <w:pPr>
              <w:spacing w:before="120"/>
              <w:ind w:left="360"/>
              <w:contextualSpacing/>
              <w:jc w:val="both"/>
              <w:rPr>
                <w:rFonts w:eastAsia="Calibri"/>
                <w:sz w:val="24"/>
                <w:szCs w:val="24"/>
              </w:rPr>
            </w:pPr>
            <w:r w:rsidRPr="00062953">
              <w:rPr>
                <w:rFonts w:eastAsia="Calibri"/>
                <w:sz w:val="24"/>
                <w:szCs w:val="24"/>
              </w:rPr>
              <w:t>Общият размер на помощта de minimis, предоставяна на територията на Република България на едно и също предприятие, което осъществява автомобилни товарни превози за чужда сметка или срещу възнаграждение, не надхвърля левовата равностойност на 100 000 евро, за период от три бюджетни  години – текущата и предходните две. Тази помощ de minimis не може да се използва за придобиването на товарни автомобили за автомобилен транспорт.</w:t>
            </w:r>
          </w:p>
          <w:p w14:paraId="5D93FA82" w14:textId="77777777" w:rsidR="00062953" w:rsidRPr="00062953" w:rsidRDefault="00062953" w:rsidP="00062953">
            <w:pPr>
              <w:spacing w:before="120"/>
              <w:ind w:left="360"/>
              <w:contextualSpacing/>
              <w:jc w:val="both"/>
              <w:rPr>
                <w:rFonts w:eastAsia="Calibri"/>
                <w:sz w:val="24"/>
                <w:szCs w:val="24"/>
              </w:rPr>
            </w:pPr>
            <w:r w:rsidRPr="00062953">
              <w:rPr>
                <w:rFonts w:eastAsia="Calibri"/>
                <w:sz w:val="24"/>
                <w:szCs w:val="24"/>
              </w:rPr>
              <w:t xml:space="preserve">Тези тавани се прилагат независимо от формата на помощта de minimis или от преследваната цел и без значение дали предоставената помощ се финансира изцяло или частично със средства, произхождащи от Съюза. </w:t>
            </w:r>
          </w:p>
          <w:p w14:paraId="10FE22F3" w14:textId="77777777" w:rsidR="00062953" w:rsidRPr="00062953" w:rsidRDefault="00062953" w:rsidP="00062953">
            <w:pPr>
              <w:spacing w:before="120"/>
              <w:ind w:left="360"/>
              <w:contextualSpacing/>
              <w:jc w:val="both"/>
              <w:rPr>
                <w:rFonts w:eastAsia="Calibri"/>
                <w:sz w:val="24"/>
                <w:szCs w:val="24"/>
              </w:rPr>
            </w:pPr>
            <w:r w:rsidRPr="00062953">
              <w:rPr>
                <w:rFonts w:eastAsia="Calibri"/>
                <w:sz w:val="24"/>
                <w:szCs w:val="24"/>
              </w:rPr>
              <w:t>Когато с отпускането на нова помощ de minimis може да бъде надвишен съответния таван, никоя част от тази нова помощ не може да попада в приложното поле на Регламента.</w:t>
            </w:r>
          </w:p>
          <w:p w14:paraId="008F6FF7" w14:textId="77777777" w:rsidR="00062953" w:rsidRPr="00062953" w:rsidRDefault="00062953" w:rsidP="00062953">
            <w:pPr>
              <w:spacing w:before="120"/>
              <w:ind w:left="360"/>
              <w:contextualSpacing/>
              <w:jc w:val="both"/>
              <w:rPr>
                <w:rFonts w:eastAsia="Calibri"/>
                <w:sz w:val="24"/>
                <w:szCs w:val="24"/>
              </w:rPr>
            </w:pPr>
            <w:r w:rsidRPr="00062953">
              <w:rPr>
                <w:rFonts w:eastAsia="Calibri"/>
                <w:sz w:val="24"/>
                <w:szCs w:val="24"/>
              </w:rPr>
              <w:t>Когато дадено предприятие извършва дейност в секторите посочени в параграф 1, букви а,б или в на чл. 1 от Регламент (ЕС) № 1407/2013, както и в един или повече сектори  или дейности обхванати от цитирания регламент за таван се използва определения в чл. 3, параграф 2 от Регламент (ЕС) № 1407/2013, при условие че се гарантира чрез подходящи средства — чрез разделение/демаркация на дейностите или разграничаване на разходите, че дейностите в сектора посочени в параграф 1, букви а,б или в на чл. 1 от Регламент (ЕС) № 1407/2013 не се ползват от помощи de minimis, предоставени в съответствие с Регламент (ЕС) № 1407/2013.</w:t>
            </w:r>
          </w:p>
          <w:p w14:paraId="19C7063D" w14:textId="77777777" w:rsidR="00062953" w:rsidRPr="00062953" w:rsidRDefault="00062953" w:rsidP="00062953">
            <w:pPr>
              <w:widowControl w:val="0"/>
              <w:numPr>
                <w:ilvl w:val="0"/>
                <w:numId w:val="20"/>
              </w:numPr>
              <w:autoSpaceDE w:val="0"/>
              <w:autoSpaceDN w:val="0"/>
              <w:adjustRightInd w:val="0"/>
              <w:spacing w:before="120" w:after="200" w:line="276" w:lineRule="auto"/>
              <w:contextualSpacing/>
              <w:jc w:val="both"/>
              <w:rPr>
                <w:rFonts w:eastAsia="Calibri"/>
                <w:sz w:val="24"/>
                <w:szCs w:val="24"/>
              </w:rPr>
            </w:pPr>
            <w:r w:rsidRPr="00062953">
              <w:rPr>
                <w:rFonts w:eastAsia="Calibri"/>
                <w:sz w:val="24"/>
                <w:szCs w:val="24"/>
              </w:rPr>
              <w:t>Ако дадено предприятие изпълнява автомобилни товарни превози за чужда сметка или срещу възнаграждение, както и ако извършва и други дейности, за които се прилага таванът от 200 000 евро, таванът от 200 000 евро се прилага за предприятието, при условие, че то гарантира посредством подходящи средства, като например отделяне на дейностите или разграничаване на разходите, че помощите за дейността по автомобилни товарни превози не надвишават 100 000 евро и че помощите de minimis не се използват за придобиване на товарни автомобили.</w:t>
            </w:r>
          </w:p>
          <w:p w14:paraId="03470BC9" w14:textId="77777777" w:rsidR="00062953" w:rsidRPr="00062953" w:rsidRDefault="00062953" w:rsidP="00062953">
            <w:pPr>
              <w:widowControl w:val="0"/>
              <w:numPr>
                <w:ilvl w:val="0"/>
                <w:numId w:val="20"/>
              </w:numPr>
              <w:autoSpaceDE w:val="0"/>
              <w:autoSpaceDN w:val="0"/>
              <w:adjustRightInd w:val="0"/>
              <w:spacing w:before="120" w:after="200" w:line="276" w:lineRule="auto"/>
              <w:contextualSpacing/>
              <w:jc w:val="both"/>
              <w:rPr>
                <w:rFonts w:eastAsia="Calibri"/>
                <w:sz w:val="24"/>
                <w:szCs w:val="24"/>
              </w:rPr>
            </w:pPr>
            <w:r w:rsidRPr="00062953">
              <w:rPr>
                <w:rFonts w:eastAsia="Calibri"/>
                <w:sz w:val="24"/>
                <w:szCs w:val="24"/>
              </w:rPr>
              <w:t xml:space="preserve">Помощта се смята за отпусната от момента на подписване на договор за предоставяне на финансова помощ, независимо от датата на реалното плащане.  </w:t>
            </w:r>
          </w:p>
          <w:p w14:paraId="579BD0C8" w14:textId="77777777" w:rsidR="00062953" w:rsidRPr="00062953" w:rsidRDefault="00062953" w:rsidP="00062953">
            <w:pPr>
              <w:widowControl w:val="0"/>
              <w:numPr>
                <w:ilvl w:val="0"/>
                <w:numId w:val="20"/>
              </w:numPr>
              <w:autoSpaceDE w:val="0"/>
              <w:autoSpaceDN w:val="0"/>
              <w:adjustRightInd w:val="0"/>
              <w:spacing w:before="120" w:after="200" w:line="276" w:lineRule="auto"/>
              <w:contextualSpacing/>
              <w:jc w:val="both"/>
              <w:rPr>
                <w:rFonts w:eastAsia="Calibri"/>
                <w:sz w:val="24"/>
                <w:szCs w:val="24"/>
              </w:rPr>
            </w:pPr>
            <w:r w:rsidRPr="00062953">
              <w:rPr>
                <w:rFonts w:eastAsia="Calibri"/>
                <w:sz w:val="24"/>
                <w:szCs w:val="24"/>
              </w:rPr>
              <w:t>Размерът на получените минимални помощи се определя като сбор от помощта, за която се кандидатства и получената минимална помощ на територията на Република България от:</w:t>
            </w:r>
          </w:p>
          <w:p w14:paraId="0FA5780B" w14:textId="77777777" w:rsidR="00062953" w:rsidRPr="00062953" w:rsidRDefault="00062953" w:rsidP="00062953">
            <w:pPr>
              <w:spacing w:before="120"/>
              <w:ind w:left="720"/>
              <w:contextualSpacing/>
              <w:jc w:val="both"/>
              <w:rPr>
                <w:rFonts w:eastAsia="Calibri"/>
                <w:sz w:val="24"/>
                <w:szCs w:val="24"/>
              </w:rPr>
            </w:pPr>
            <w:r w:rsidRPr="00062953">
              <w:rPr>
                <w:rFonts w:eastAsia="Calibri"/>
                <w:sz w:val="24"/>
                <w:szCs w:val="24"/>
              </w:rPr>
              <w:t>• предприятието кандидат;</w:t>
            </w:r>
          </w:p>
          <w:p w14:paraId="59FAF597" w14:textId="77777777" w:rsidR="00062953" w:rsidRPr="00062953" w:rsidRDefault="00062953" w:rsidP="00062953">
            <w:pPr>
              <w:spacing w:before="120"/>
              <w:ind w:left="720"/>
              <w:contextualSpacing/>
              <w:jc w:val="both"/>
              <w:rPr>
                <w:rFonts w:eastAsia="Calibri"/>
                <w:sz w:val="24"/>
                <w:szCs w:val="24"/>
              </w:rPr>
            </w:pPr>
            <w:r w:rsidRPr="00062953">
              <w:rPr>
                <w:rFonts w:eastAsia="Calibri"/>
                <w:sz w:val="24"/>
                <w:szCs w:val="24"/>
              </w:rPr>
              <w:lastRenderedPageBreak/>
              <w:t>• предприятията, с които предприятието кандидат образува „едно и също предприятие“</w:t>
            </w:r>
            <w:r w:rsidRPr="00062953">
              <w:rPr>
                <w:b/>
                <w:sz w:val="24"/>
                <w:szCs w:val="24"/>
                <w:vertAlign w:val="superscript"/>
                <w:lang w:eastAsia="pl-PL"/>
              </w:rPr>
              <w:t xml:space="preserve"> </w:t>
            </w:r>
            <w:r w:rsidRPr="00062953">
              <w:rPr>
                <w:b/>
                <w:sz w:val="24"/>
                <w:szCs w:val="24"/>
                <w:vertAlign w:val="superscript"/>
                <w:lang w:eastAsia="pl-PL"/>
              </w:rPr>
              <w:footnoteReference w:id="2"/>
            </w:r>
            <w:r w:rsidRPr="00062953">
              <w:rPr>
                <w:rFonts w:eastAsia="Calibri"/>
                <w:sz w:val="24"/>
                <w:szCs w:val="24"/>
              </w:rPr>
              <w:t xml:space="preserve"> по смисъла на чл. 2, пар. 2 на Регламент (ЕС) № 1407/2013;</w:t>
            </w:r>
          </w:p>
          <w:p w14:paraId="0BAC9985" w14:textId="77777777" w:rsidR="00062953" w:rsidRPr="00062953" w:rsidRDefault="00062953" w:rsidP="00062953">
            <w:pPr>
              <w:spacing w:before="120"/>
              <w:ind w:left="720"/>
              <w:contextualSpacing/>
              <w:jc w:val="both"/>
              <w:rPr>
                <w:rFonts w:eastAsia="Calibri"/>
                <w:sz w:val="24"/>
                <w:szCs w:val="24"/>
              </w:rPr>
            </w:pPr>
            <w:r w:rsidRPr="00062953">
              <w:rPr>
                <w:rFonts w:eastAsia="Calibri"/>
                <w:sz w:val="24"/>
                <w:szCs w:val="24"/>
              </w:rPr>
              <w:t>• всички предприятия, които са се влели, слели с или са придобити от някое от предприятията, образуващи „едно и също предприятие“ с предприятието кандидат, съгласно чл. 3, пар. 8 на Регламент (ЕС) № 1407/2013;</w:t>
            </w:r>
          </w:p>
          <w:p w14:paraId="778A39DC" w14:textId="77777777" w:rsidR="00062953" w:rsidRPr="00062953" w:rsidRDefault="00062953" w:rsidP="00062953">
            <w:pPr>
              <w:spacing w:before="120"/>
              <w:ind w:left="720"/>
              <w:contextualSpacing/>
              <w:jc w:val="both"/>
              <w:rPr>
                <w:rFonts w:eastAsia="Calibri"/>
                <w:sz w:val="24"/>
                <w:szCs w:val="24"/>
              </w:rPr>
            </w:pPr>
            <w:r w:rsidRPr="00062953">
              <w:rPr>
                <w:rFonts w:eastAsia="Calibri"/>
                <w:sz w:val="24"/>
                <w:szCs w:val="24"/>
              </w:rPr>
              <w:t>• предприятията, образуващи „едно и също предприятие“ с предприятието кандидат, които са се възползвали от помощ de minimis, получена преди разделяне или отделяне, съгласно чл. 3, пар. 9 от Регламент (ЕС) № 1407/2013.</w:t>
            </w:r>
          </w:p>
          <w:p w14:paraId="0CDAB61E" w14:textId="77777777" w:rsidR="00062953" w:rsidRPr="00062953" w:rsidRDefault="00062953" w:rsidP="00062953">
            <w:pPr>
              <w:spacing w:before="120"/>
              <w:ind w:left="720"/>
              <w:contextualSpacing/>
              <w:jc w:val="both"/>
              <w:rPr>
                <w:rFonts w:eastAsia="Calibri"/>
                <w:sz w:val="24"/>
                <w:szCs w:val="24"/>
              </w:rPr>
            </w:pPr>
          </w:p>
          <w:p w14:paraId="3D8966DA" w14:textId="77777777" w:rsidR="00062953" w:rsidRPr="00062953" w:rsidRDefault="00062953" w:rsidP="00062953">
            <w:pPr>
              <w:widowControl w:val="0"/>
              <w:numPr>
                <w:ilvl w:val="0"/>
                <w:numId w:val="20"/>
              </w:numPr>
              <w:autoSpaceDE w:val="0"/>
              <w:autoSpaceDN w:val="0"/>
              <w:adjustRightInd w:val="0"/>
              <w:spacing w:before="120" w:after="200" w:line="276" w:lineRule="auto"/>
              <w:contextualSpacing/>
              <w:jc w:val="both"/>
              <w:rPr>
                <w:rFonts w:eastAsia="Calibri"/>
                <w:sz w:val="24"/>
                <w:szCs w:val="24"/>
              </w:rPr>
            </w:pPr>
            <w:r w:rsidRPr="00062953">
              <w:rPr>
                <w:rFonts w:eastAsia="Calibri"/>
                <w:sz w:val="24"/>
                <w:szCs w:val="24"/>
              </w:rPr>
              <w:t>Натрупването на минимални помощи, предоставени на територията на Република България в рамките на едно и също предприятие е съгласно разпоредбите на чл. 5 на Регламент (ЕС) № 1407/2013:</w:t>
            </w:r>
          </w:p>
          <w:p w14:paraId="5B3B9DBF" w14:textId="77777777" w:rsidR="00062953" w:rsidRPr="00062953" w:rsidRDefault="00062953" w:rsidP="00062953">
            <w:pPr>
              <w:spacing w:before="120"/>
              <w:contextualSpacing/>
              <w:jc w:val="both"/>
              <w:rPr>
                <w:rFonts w:eastAsia="Calibri"/>
                <w:sz w:val="24"/>
                <w:szCs w:val="24"/>
              </w:rPr>
            </w:pPr>
            <w:r w:rsidRPr="00062953">
              <w:rPr>
                <w:rFonts w:eastAsia="Calibri"/>
                <w:sz w:val="24"/>
                <w:szCs w:val="24"/>
              </w:rPr>
              <w:t>-</w:t>
            </w:r>
            <w:r w:rsidRPr="00062953">
              <w:rPr>
                <w:rFonts w:eastAsia="Calibri"/>
                <w:sz w:val="24"/>
                <w:szCs w:val="24"/>
              </w:rPr>
              <w:tab/>
              <w:t xml:space="preserve">Когато дадено предприятие попада в приложното поле на Регламент (ЕС) № 1407/2013 помоща de minimis предоставена за него съгласно регламента може да се кумулира с помощ de minimis предоставена съгласно Регламент </w:t>
            </w:r>
            <w:r w:rsidRPr="00062953">
              <w:rPr>
                <w:rFonts w:eastAsia="Calibri"/>
                <w:sz w:val="24"/>
                <w:szCs w:val="24"/>
                <w:lang w:val="en-US"/>
              </w:rPr>
              <w:t>(</w:t>
            </w:r>
            <w:r w:rsidRPr="00062953">
              <w:rPr>
                <w:rFonts w:eastAsia="Calibri"/>
                <w:sz w:val="24"/>
                <w:szCs w:val="24"/>
              </w:rPr>
              <w:t>ЕС</w:t>
            </w:r>
            <w:r w:rsidRPr="00062953">
              <w:rPr>
                <w:rFonts w:eastAsia="Calibri"/>
                <w:sz w:val="24"/>
                <w:szCs w:val="24"/>
                <w:lang w:val="en-US"/>
              </w:rPr>
              <w:t>)</w:t>
            </w:r>
            <w:r w:rsidRPr="00062953">
              <w:rPr>
                <w:rFonts w:eastAsia="Calibri"/>
                <w:sz w:val="24"/>
                <w:szCs w:val="24"/>
              </w:rPr>
              <w:t xml:space="preserve"> № 360/2012 на Комисията до тавана, установен в посочения регламент. Тя може да се кумулира с помощ de minimis, предоставяна съгласно други регламенти за такава помощ до съответния таван определен в чл. 3, пар. 2 на Регламент (ЕС) № 1407/2013. </w:t>
            </w:r>
          </w:p>
          <w:p w14:paraId="191F9F73" w14:textId="77777777" w:rsidR="00062953" w:rsidRPr="00062953" w:rsidRDefault="00062953" w:rsidP="00062953">
            <w:pPr>
              <w:spacing w:before="120"/>
              <w:contextualSpacing/>
              <w:jc w:val="both"/>
              <w:rPr>
                <w:rFonts w:eastAsia="Calibri"/>
                <w:sz w:val="24"/>
                <w:szCs w:val="24"/>
              </w:rPr>
            </w:pPr>
            <w:r w:rsidRPr="00062953">
              <w:rPr>
                <w:rFonts w:eastAsia="Calibri"/>
                <w:sz w:val="24"/>
                <w:szCs w:val="24"/>
              </w:rPr>
              <w:t>-</w:t>
            </w:r>
            <w:r w:rsidRPr="00062953">
              <w:rPr>
                <w:rFonts w:eastAsia="Calibri"/>
                <w:sz w:val="24"/>
                <w:szCs w:val="24"/>
              </w:rPr>
              <w:tab/>
              <w:t>Помощта de minimis не се кумулира с държавна помощ във връзка със същите допустими разходи или с държавна помощ за същата мярка за рисково финансиране, ако чрез това кумулиране може да се надвиши най-високият съответен интензитет на помощта или размер на помощта, определен за конкретните обстоятелства на всеки отделен случай с регламент за групово освобождаване или решение, приети от Комисията. Помощ de minimis, която не е предоставена за конкретни допустими разходи или не може да бъде свързана с такива, може да се кумулира с друга държавна помощ, предоставена с регламент за групово освобождаване или решение, приети от Комисията.</w:t>
            </w:r>
          </w:p>
          <w:p w14:paraId="6D34CA4D" w14:textId="77777777" w:rsidR="00062953" w:rsidRPr="00062953" w:rsidRDefault="00062953" w:rsidP="00062953">
            <w:pPr>
              <w:widowControl w:val="0"/>
              <w:numPr>
                <w:ilvl w:val="0"/>
                <w:numId w:val="20"/>
              </w:numPr>
              <w:autoSpaceDE w:val="0"/>
              <w:autoSpaceDN w:val="0"/>
              <w:adjustRightInd w:val="0"/>
              <w:spacing w:before="120" w:after="200" w:line="276" w:lineRule="auto"/>
              <w:contextualSpacing/>
              <w:jc w:val="both"/>
              <w:rPr>
                <w:rFonts w:eastAsia="Calibri"/>
                <w:sz w:val="24"/>
                <w:szCs w:val="24"/>
              </w:rPr>
            </w:pPr>
            <w:r w:rsidRPr="00062953">
              <w:rPr>
                <w:rFonts w:eastAsia="Calibri"/>
                <w:bCs/>
                <w:sz w:val="24"/>
                <w:szCs w:val="24"/>
              </w:rPr>
              <w:lastRenderedPageBreak/>
              <w:t>При определяне на максимално допустимият размер и съответно интензитет на помощта, в конкретния случай и в конкретните обстоятелства, да се взема предвид както размера на минималната помощ, за която се кандидатства, така и общият размер на вече получена минимална помощ на територията на Република България в рамките на едно и също предприятие, независимо от това дали тази подкрепа е финансирана от местни, регионални, национални или общностни източници.</w:t>
            </w:r>
          </w:p>
          <w:p w14:paraId="1D41EFC6" w14:textId="77777777" w:rsidR="00062953" w:rsidRPr="00062953" w:rsidRDefault="00062953" w:rsidP="00062953">
            <w:pPr>
              <w:widowControl w:val="0"/>
              <w:numPr>
                <w:ilvl w:val="0"/>
                <w:numId w:val="20"/>
              </w:numPr>
              <w:autoSpaceDE w:val="0"/>
              <w:autoSpaceDN w:val="0"/>
              <w:adjustRightInd w:val="0"/>
              <w:spacing w:before="120" w:after="200" w:line="276" w:lineRule="auto"/>
              <w:contextualSpacing/>
              <w:jc w:val="both"/>
              <w:rPr>
                <w:rFonts w:eastAsia="Calibri"/>
                <w:bCs/>
                <w:sz w:val="24"/>
                <w:szCs w:val="24"/>
              </w:rPr>
            </w:pPr>
            <w:r w:rsidRPr="00062953">
              <w:rPr>
                <w:rFonts w:eastAsia="Calibri"/>
                <w:bCs/>
                <w:sz w:val="24"/>
                <w:szCs w:val="24"/>
              </w:rPr>
              <w:t xml:space="preserve">Праговете, посочени по-горе не могат да бъдат заобикаляни чрез изкуствено разделяне на проекти със сходни характеристики и бенефициенти. </w:t>
            </w:r>
          </w:p>
          <w:p w14:paraId="059845E4" w14:textId="4DF17149" w:rsidR="00062953" w:rsidRPr="00062953" w:rsidRDefault="00062953" w:rsidP="00062953">
            <w:pPr>
              <w:widowControl w:val="0"/>
              <w:numPr>
                <w:ilvl w:val="0"/>
                <w:numId w:val="20"/>
              </w:numPr>
              <w:autoSpaceDE w:val="0"/>
              <w:autoSpaceDN w:val="0"/>
              <w:adjustRightInd w:val="0"/>
              <w:spacing w:before="120" w:after="200" w:line="276" w:lineRule="auto"/>
              <w:contextualSpacing/>
              <w:jc w:val="both"/>
              <w:rPr>
                <w:rFonts w:eastAsia="Calibri"/>
                <w:sz w:val="24"/>
                <w:szCs w:val="24"/>
              </w:rPr>
            </w:pPr>
            <w:r w:rsidRPr="00062953">
              <w:rPr>
                <w:rFonts w:eastAsia="Calibri"/>
                <w:sz w:val="24"/>
                <w:szCs w:val="24"/>
              </w:rPr>
              <w:t xml:space="preserve">За изпълнението на обстоятелствата кандидатите посочват данните за получени минимални помощи в Декларация за минимални помощи, попълнена по образец, част </w:t>
            </w:r>
            <w:r w:rsidR="009F1E96">
              <w:rPr>
                <w:rFonts w:eastAsia="Calibri"/>
                <w:sz w:val="24"/>
                <w:szCs w:val="24"/>
              </w:rPr>
              <w:t xml:space="preserve">от </w:t>
            </w:r>
            <w:r w:rsidR="009F1E96" w:rsidRPr="009F1E96">
              <w:rPr>
                <w:rFonts w:eastAsia="Calibri"/>
                <w:sz w:val="24"/>
                <w:szCs w:val="24"/>
              </w:rPr>
              <w:t xml:space="preserve">Условията за кандидатстване </w:t>
            </w:r>
            <w:r w:rsidRPr="00062953">
              <w:rPr>
                <w:rFonts w:eastAsia="Calibri"/>
                <w:sz w:val="24"/>
                <w:szCs w:val="24"/>
                <w:lang w:val="en-US"/>
              </w:rPr>
              <w:t>(</w:t>
            </w:r>
            <w:r w:rsidR="00053A39">
              <w:rPr>
                <w:rFonts w:eastAsia="Calibri"/>
                <w:sz w:val="24"/>
                <w:szCs w:val="24"/>
              </w:rPr>
              <w:t>Приложение № 12</w:t>
            </w:r>
            <w:r w:rsidRPr="00062953">
              <w:rPr>
                <w:rFonts w:eastAsia="Calibri"/>
                <w:sz w:val="24"/>
                <w:szCs w:val="24"/>
                <w:lang w:val="en-US"/>
              </w:rPr>
              <w:t>)</w:t>
            </w:r>
            <w:r w:rsidRPr="00062953">
              <w:rPr>
                <w:rFonts w:eastAsia="Calibri"/>
                <w:sz w:val="24"/>
                <w:szCs w:val="24"/>
              </w:rPr>
              <w:t>.</w:t>
            </w:r>
          </w:p>
          <w:p w14:paraId="3DBDEFD4" w14:textId="77777777" w:rsidR="00062953" w:rsidRPr="00062953" w:rsidRDefault="00062953" w:rsidP="00062953">
            <w:pPr>
              <w:widowControl w:val="0"/>
              <w:numPr>
                <w:ilvl w:val="0"/>
                <w:numId w:val="20"/>
              </w:numPr>
              <w:autoSpaceDE w:val="0"/>
              <w:autoSpaceDN w:val="0"/>
              <w:adjustRightInd w:val="0"/>
              <w:spacing w:before="120" w:after="200" w:line="276" w:lineRule="auto"/>
              <w:contextualSpacing/>
              <w:jc w:val="both"/>
              <w:rPr>
                <w:rFonts w:eastAsia="Calibri"/>
                <w:i/>
                <w:sz w:val="24"/>
                <w:szCs w:val="24"/>
              </w:rPr>
            </w:pPr>
            <w:r w:rsidRPr="00062953">
              <w:rPr>
                <w:rFonts w:eastAsia="Calibri"/>
                <w:bCs/>
                <w:sz w:val="24"/>
                <w:szCs w:val="24"/>
              </w:rPr>
              <w:t>Цитираните по-горе условия на регламента се проверяват на етап административно съответствие и допустимост на проектното предложение.</w:t>
            </w:r>
          </w:p>
          <w:p w14:paraId="3AA6741A" w14:textId="77777777" w:rsidR="00062953" w:rsidRPr="00062953" w:rsidRDefault="00062953" w:rsidP="00062953">
            <w:pPr>
              <w:widowControl w:val="0"/>
              <w:numPr>
                <w:ilvl w:val="0"/>
                <w:numId w:val="20"/>
              </w:numPr>
              <w:autoSpaceDE w:val="0"/>
              <w:autoSpaceDN w:val="0"/>
              <w:adjustRightInd w:val="0"/>
              <w:spacing w:before="120" w:after="200" w:line="276" w:lineRule="auto"/>
              <w:contextualSpacing/>
              <w:jc w:val="both"/>
              <w:rPr>
                <w:rFonts w:eastAsia="Calibri"/>
                <w:i/>
                <w:sz w:val="24"/>
                <w:szCs w:val="24"/>
              </w:rPr>
            </w:pPr>
            <w:r w:rsidRPr="00062953">
              <w:rPr>
                <w:rFonts w:eastAsia="Calibri"/>
                <w:bCs/>
                <w:sz w:val="24"/>
                <w:szCs w:val="24"/>
              </w:rPr>
              <w:t>За спазването на обстоятелствата се извършва</w:t>
            </w:r>
            <w:r w:rsidRPr="00062953">
              <w:rPr>
                <w:rFonts w:eastAsia="Calibri"/>
                <w:sz w:val="24"/>
                <w:szCs w:val="24"/>
              </w:rPr>
              <w:t xml:space="preserve"> проверка в Информационна система "Регистър на минималните помощи", Публичния регистър на Европейската комисия, </w:t>
            </w:r>
            <w:r w:rsidRPr="00062953">
              <w:rPr>
                <w:rFonts w:eastAsia="Calibri"/>
                <w:bCs/>
                <w:sz w:val="24"/>
                <w:szCs w:val="24"/>
              </w:rPr>
              <w:t xml:space="preserve">Информационната система за управление и наблюдение на Структурните инструменти на ЕС в България 2007-2013 (ИСУН), Информационната система за управление и наблюдение на Структурните инструменти на ЕС в България (ИСУН 2020) и Търговския регистър. </w:t>
            </w:r>
          </w:p>
          <w:p w14:paraId="1EC0EC5A" w14:textId="77777777" w:rsidR="00062953" w:rsidRPr="00062953" w:rsidRDefault="00062953" w:rsidP="00062953">
            <w:pPr>
              <w:widowControl w:val="0"/>
              <w:numPr>
                <w:ilvl w:val="0"/>
                <w:numId w:val="20"/>
              </w:numPr>
              <w:autoSpaceDE w:val="0"/>
              <w:autoSpaceDN w:val="0"/>
              <w:adjustRightInd w:val="0"/>
              <w:spacing w:before="120" w:after="200" w:line="276" w:lineRule="auto"/>
              <w:contextualSpacing/>
              <w:jc w:val="both"/>
              <w:rPr>
                <w:rFonts w:eastAsia="Calibri"/>
                <w:sz w:val="24"/>
                <w:szCs w:val="24"/>
              </w:rPr>
            </w:pPr>
            <w:r w:rsidRPr="00062953">
              <w:rPr>
                <w:rFonts w:eastAsia="Calibri"/>
                <w:sz w:val="24"/>
                <w:szCs w:val="24"/>
              </w:rPr>
              <w:t xml:space="preserve">Периодът, който се проверява, във връзка с натрупването на минимални помощи, е три бюджетни години текущата и предходните две. За целите на определянето на тавана, помощта се изразява като парични безвъзмездни средства. Всички използвани стойности са в брутно изражение, т.е. преди облагане с данъци или други такси. </w:t>
            </w:r>
          </w:p>
          <w:p w14:paraId="6A38098A" w14:textId="77777777" w:rsidR="00062953" w:rsidRPr="00062953" w:rsidRDefault="00062953" w:rsidP="00062953">
            <w:pPr>
              <w:spacing w:before="120"/>
              <w:ind w:left="360"/>
              <w:contextualSpacing/>
              <w:jc w:val="both"/>
              <w:rPr>
                <w:rFonts w:eastAsia="Calibri"/>
                <w:sz w:val="24"/>
                <w:szCs w:val="24"/>
              </w:rPr>
            </w:pPr>
            <w:r w:rsidRPr="00062953">
              <w:rPr>
                <w:rFonts w:eastAsia="Calibri"/>
                <w:sz w:val="24"/>
                <w:szCs w:val="24"/>
              </w:rPr>
              <w:t>Помощ изплащана на траншове, се сконтира към стойността й към момента на нейното предоставяне. Лихвеният процент, който се използва за сконтиране, е сконтовият процент, приложим към момента на отпускане на помощта.</w:t>
            </w:r>
            <w:r w:rsidRPr="00062953">
              <w:rPr>
                <w:rFonts w:eastAsia="Calibri"/>
                <w:sz w:val="24"/>
                <w:szCs w:val="24"/>
                <w:lang w:val="en-US"/>
              </w:rPr>
              <w:t>(</w:t>
            </w:r>
            <w:r w:rsidRPr="00062953">
              <w:rPr>
                <w:rFonts w:eastAsia="Calibri"/>
                <w:sz w:val="24"/>
                <w:szCs w:val="24"/>
              </w:rPr>
              <w:t xml:space="preserve">същият може да бъде намерен на </w:t>
            </w:r>
            <w:r w:rsidRPr="00062953">
              <w:rPr>
                <w:rFonts w:eastAsia="Calibri"/>
                <w:sz w:val="24"/>
                <w:szCs w:val="24"/>
                <w:lang w:val="en-US"/>
              </w:rPr>
              <w:t>www.stateaid.minfin.bg</w:t>
            </w:r>
            <w:r w:rsidRPr="00062953">
              <w:rPr>
                <w:rFonts w:eastAsia="Calibri"/>
                <w:sz w:val="24"/>
                <w:szCs w:val="24"/>
              </w:rPr>
              <w:t>/</w:t>
            </w:r>
            <w:r w:rsidRPr="00062953">
              <w:rPr>
                <w:rFonts w:eastAsia="Calibri"/>
                <w:sz w:val="24"/>
                <w:szCs w:val="24"/>
                <w:lang w:val="en-US"/>
              </w:rPr>
              <w:t>bg/page/424)</w:t>
            </w:r>
          </w:p>
          <w:p w14:paraId="02D2F2F7" w14:textId="77777777" w:rsidR="00062953" w:rsidRPr="00062953" w:rsidRDefault="00062953" w:rsidP="00062953">
            <w:pPr>
              <w:widowControl w:val="0"/>
              <w:numPr>
                <w:ilvl w:val="0"/>
                <w:numId w:val="20"/>
              </w:numPr>
              <w:autoSpaceDE w:val="0"/>
              <w:autoSpaceDN w:val="0"/>
              <w:adjustRightInd w:val="0"/>
              <w:spacing w:before="120" w:after="200" w:line="276" w:lineRule="auto"/>
              <w:contextualSpacing/>
              <w:jc w:val="both"/>
              <w:rPr>
                <w:rFonts w:eastAsia="Calibri"/>
                <w:sz w:val="24"/>
                <w:szCs w:val="24"/>
              </w:rPr>
            </w:pPr>
            <w:r w:rsidRPr="00062953">
              <w:rPr>
                <w:rFonts w:eastAsia="Calibri"/>
                <w:bCs/>
                <w:sz w:val="24"/>
                <w:szCs w:val="24"/>
              </w:rPr>
              <w:t>Кандидатите нямат право да подават проектни предложения по процедурата за вече реализирани дейности или такива, финансирани по друг проект, програма или каквато и да е друга финансова схема, произлизаща от националния бюджет, бюджета на Общността или друга донорска програма.</w:t>
            </w:r>
          </w:p>
          <w:p w14:paraId="71BF9C8F" w14:textId="77777777" w:rsidR="00062953" w:rsidRPr="00062953" w:rsidRDefault="00062953" w:rsidP="00062953">
            <w:pPr>
              <w:widowControl w:val="0"/>
              <w:numPr>
                <w:ilvl w:val="0"/>
                <w:numId w:val="20"/>
              </w:numPr>
              <w:autoSpaceDE w:val="0"/>
              <w:autoSpaceDN w:val="0"/>
              <w:adjustRightInd w:val="0"/>
              <w:spacing w:before="120" w:after="200" w:line="276" w:lineRule="auto"/>
              <w:contextualSpacing/>
              <w:jc w:val="both"/>
              <w:rPr>
                <w:rFonts w:eastAsia="Calibri"/>
                <w:sz w:val="24"/>
                <w:szCs w:val="24"/>
              </w:rPr>
            </w:pPr>
            <w:r w:rsidRPr="00062953">
              <w:rPr>
                <w:rFonts w:eastAsia="Calibri"/>
                <w:sz w:val="24"/>
                <w:szCs w:val="24"/>
              </w:rPr>
              <w:t>Последствията при неспазване на т.2 – отказване на помощта, служебно намаляване на помощта или възстановяване на неправомерно предоставена помощ.</w:t>
            </w:r>
          </w:p>
          <w:p w14:paraId="5EE607F2" w14:textId="77777777" w:rsidR="00062953" w:rsidRPr="00062953" w:rsidRDefault="00062953" w:rsidP="00062953">
            <w:pPr>
              <w:widowControl w:val="0"/>
              <w:numPr>
                <w:ilvl w:val="0"/>
                <w:numId w:val="20"/>
              </w:numPr>
              <w:autoSpaceDE w:val="0"/>
              <w:autoSpaceDN w:val="0"/>
              <w:adjustRightInd w:val="0"/>
              <w:spacing w:before="120" w:after="200" w:line="276" w:lineRule="auto"/>
              <w:contextualSpacing/>
              <w:jc w:val="both"/>
              <w:rPr>
                <w:rFonts w:eastAsia="Calibri"/>
                <w:sz w:val="24"/>
                <w:szCs w:val="24"/>
              </w:rPr>
            </w:pPr>
            <w:r w:rsidRPr="00062953">
              <w:rPr>
                <w:rFonts w:eastAsia="Calibri"/>
                <w:sz w:val="24"/>
                <w:szCs w:val="24"/>
              </w:rPr>
              <w:t xml:space="preserve"> Преди сключване на договор за предоставяне на безвъзмездна финансова помощ, Държавен фонд „Земеделие“ прилага подходящи контролни механизми, които да </w:t>
            </w:r>
            <w:r w:rsidRPr="00062953">
              <w:rPr>
                <w:rFonts w:eastAsia="Calibri"/>
                <w:sz w:val="24"/>
                <w:szCs w:val="24"/>
              </w:rPr>
              <w:lastRenderedPageBreak/>
              <w:t xml:space="preserve">гарантират изпълнението на всички приложими условия на Регламент (ЕС) № 1407/2013, включително ще извършва документална проверка на декларираните данни от одобрените кандидати в Декларацията за минимални помощи. </w:t>
            </w:r>
          </w:p>
          <w:p w14:paraId="39CBB258" w14:textId="77777777" w:rsidR="00062953" w:rsidRPr="00062953" w:rsidRDefault="00062953" w:rsidP="00062953">
            <w:pPr>
              <w:widowControl w:val="0"/>
              <w:numPr>
                <w:ilvl w:val="0"/>
                <w:numId w:val="20"/>
              </w:numPr>
              <w:autoSpaceDE w:val="0"/>
              <w:autoSpaceDN w:val="0"/>
              <w:adjustRightInd w:val="0"/>
              <w:spacing w:before="120" w:after="200" w:line="276" w:lineRule="auto"/>
              <w:contextualSpacing/>
              <w:jc w:val="both"/>
              <w:rPr>
                <w:rFonts w:eastAsia="Calibri"/>
                <w:sz w:val="24"/>
                <w:szCs w:val="24"/>
              </w:rPr>
            </w:pPr>
            <w:r w:rsidRPr="00062953">
              <w:rPr>
                <w:rFonts w:eastAsia="Calibri"/>
                <w:sz w:val="24"/>
                <w:szCs w:val="24"/>
              </w:rPr>
              <w:t xml:space="preserve">Държавен фонд „Земеделие“ информира министъра на финансите в срок до три дни от предоставянето на всяка помощ, попадаща в обхвата на минимална помощ, чрез въвеждане на информацията в Информационна система "Регистър на минималните помощи". </w:t>
            </w:r>
          </w:p>
          <w:p w14:paraId="5685B53B" w14:textId="77777777" w:rsidR="00062953" w:rsidRPr="00062953" w:rsidRDefault="00062953" w:rsidP="00062953">
            <w:pPr>
              <w:widowControl w:val="0"/>
              <w:numPr>
                <w:ilvl w:val="0"/>
                <w:numId w:val="20"/>
              </w:numPr>
              <w:autoSpaceDE w:val="0"/>
              <w:autoSpaceDN w:val="0"/>
              <w:adjustRightInd w:val="0"/>
              <w:spacing w:before="120" w:after="200" w:line="276" w:lineRule="auto"/>
              <w:contextualSpacing/>
              <w:jc w:val="both"/>
              <w:rPr>
                <w:rFonts w:eastAsia="Calibri"/>
                <w:sz w:val="24"/>
                <w:szCs w:val="24"/>
              </w:rPr>
            </w:pPr>
            <w:r w:rsidRPr="00062953">
              <w:rPr>
                <w:rFonts w:eastAsia="Calibri"/>
                <w:sz w:val="24"/>
                <w:szCs w:val="24"/>
              </w:rPr>
              <w:t xml:space="preserve">В договора за безвъзмездна финансова помощ, съгласно чл. 16 и чл. 36 от Закона за държавни помощи </w:t>
            </w:r>
            <w:r w:rsidRPr="00062953">
              <w:rPr>
                <w:rFonts w:eastAsia="Calibri"/>
                <w:sz w:val="24"/>
                <w:szCs w:val="24"/>
                <w:lang w:val="en-US"/>
              </w:rPr>
              <w:t>(</w:t>
            </w:r>
            <w:r w:rsidRPr="00062953">
              <w:rPr>
                <w:rFonts w:eastAsia="Calibri"/>
                <w:sz w:val="24"/>
                <w:szCs w:val="24"/>
              </w:rPr>
              <w:t>обн. В ДВ 85 от 24.10.2017 г.</w:t>
            </w:r>
            <w:r w:rsidRPr="00062953">
              <w:rPr>
                <w:rFonts w:eastAsia="Calibri"/>
                <w:sz w:val="24"/>
                <w:szCs w:val="24"/>
                <w:lang w:val="en-US"/>
              </w:rPr>
              <w:t>)</w:t>
            </w:r>
            <w:r w:rsidRPr="00062953">
              <w:rPr>
                <w:rFonts w:eastAsia="Calibri"/>
                <w:sz w:val="24"/>
                <w:szCs w:val="24"/>
              </w:rPr>
              <w:t xml:space="preserve"> се съдържа информация относно вида, размера и основанието за предоставяне на отпуснатата помощ, чрез цитиране на заглавието на Регламента и номера на публикацията му в Официален вестник на Европейския съюз, всички приложими за получателя задължения, свързани със спазване на изискванията на Регламента </w:t>
            </w:r>
            <w:r w:rsidRPr="00062953">
              <w:rPr>
                <w:rFonts w:eastAsia="Calibri"/>
                <w:sz w:val="24"/>
                <w:szCs w:val="24"/>
                <w:lang w:val="en-US"/>
              </w:rPr>
              <w:t>(</w:t>
            </w:r>
            <w:r w:rsidRPr="00062953">
              <w:rPr>
                <w:rFonts w:eastAsia="Calibri"/>
                <w:sz w:val="24"/>
                <w:szCs w:val="24"/>
              </w:rPr>
              <w:t>например изискванията на чл. 6, пар. 4 и пар. 5</w:t>
            </w:r>
            <w:r w:rsidRPr="00062953">
              <w:rPr>
                <w:rFonts w:eastAsia="Calibri"/>
                <w:sz w:val="24"/>
                <w:szCs w:val="24"/>
                <w:lang w:val="en-US"/>
              </w:rPr>
              <w:t>)</w:t>
            </w:r>
            <w:r w:rsidRPr="00062953">
              <w:rPr>
                <w:rFonts w:eastAsia="Calibri"/>
                <w:sz w:val="24"/>
                <w:szCs w:val="24"/>
              </w:rPr>
              <w:t>, правилата за прилагане на условията за нейното предоставяне и за контрол, както и механизъм за установяване на неправомерно предоставена помощ, съгласно чл. 37 от Закона за държавни помощи.</w:t>
            </w:r>
          </w:p>
          <w:p w14:paraId="5C396953" w14:textId="796603DA" w:rsidR="00062953" w:rsidRPr="00062953" w:rsidRDefault="00062953" w:rsidP="00062953">
            <w:pPr>
              <w:widowControl w:val="0"/>
              <w:numPr>
                <w:ilvl w:val="0"/>
                <w:numId w:val="20"/>
              </w:numPr>
              <w:autoSpaceDE w:val="0"/>
              <w:autoSpaceDN w:val="0"/>
              <w:adjustRightInd w:val="0"/>
              <w:spacing w:before="120" w:after="200" w:line="276" w:lineRule="auto"/>
              <w:contextualSpacing/>
              <w:jc w:val="both"/>
              <w:rPr>
                <w:rFonts w:eastAsia="Calibri"/>
                <w:sz w:val="24"/>
                <w:szCs w:val="24"/>
              </w:rPr>
            </w:pPr>
            <w:r w:rsidRPr="00062953">
              <w:rPr>
                <w:rFonts w:eastAsia="Calibri"/>
                <w:sz w:val="24"/>
                <w:szCs w:val="24"/>
              </w:rPr>
              <w:t>Ако проектното предложение на кандидат бъде одобрено и той подпише договор за предоставяне на финансова помощ, е длъжен да съхранява документацията относно получената помощ de minimis за период от 10 бюджетни години, считано от датата на която е предоставена последната индивидуална помощ по схемата и да я предоставя при поискване в срок от 5 работни дни на МИГ</w:t>
            </w:r>
            <w:r w:rsidR="00B4173F">
              <w:rPr>
                <w:rFonts w:eastAsia="Calibri"/>
                <w:sz w:val="24"/>
                <w:szCs w:val="24"/>
              </w:rPr>
              <w:t xml:space="preserve"> Поморие</w:t>
            </w:r>
            <w:r w:rsidRPr="00062953">
              <w:rPr>
                <w:rFonts w:eastAsia="Calibri"/>
                <w:sz w:val="24"/>
                <w:szCs w:val="24"/>
              </w:rPr>
              <w:t xml:space="preserve"> или на Държавен фонд „Земеделие“.</w:t>
            </w:r>
          </w:p>
          <w:p w14:paraId="0DDC4A4E" w14:textId="77777777" w:rsidR="001A5DFD" w:rsidRDefault="00062953" w:rsidP="00D44BB9">
            <w:pPr>
              <w:widowControl w:val="0"/>
              <w:numPr>
                <w:ilvl w:val="0"/>
                <w:numId w:val="20"/>
              </w:numPr>
              <w:autoSpaceDE w:val="0"/>
              <w:autoSpaceDN w:val="0"/>
              <w:adjustRightInd w:val="0"/>
              <w:spacing w:before="120" w:after="200" w:line="276" w:lineRule="auto"/>
              <w:contextualSpacing/>
              <w:jc w:val="both"/>
              <w:rPr>
                <w:rFonts w:eastAsia="Calibri"/>
                <w:sz w:val="24"/>
                <w:szCs w:val="24"/>
              </w:rPr>
            </w:pPr>
            <w:r w:rsidRPr="00062953">
              <w:rPr>
                <w:rFonts w:eastAsia="Calibri"/>
                <w:sz w:val="24"/>
                <w:szCs w:val="24"/>
              </w:rPr>
              <w:t xml:space="preserve">По писмено искане държавата предоставя на Комисията в срок до 20 работни дни или в по-дълъг срок, ако такъв бъде определен в искането, цялата информация, която Комисията счита за необходима, за да прецени дали са спазени условията относно общия размер на помощта de minimis по смисъла на Регламента и на други регламенти за помощ de minimis, получена от всяко предприятие. </w:t>
            </w:r>
          </w:p>
          <w:p w14:paraId="67E39721" w14:textId="36253AF9" w:rsidR="001A5DFD" w:rsidRPr="00B4173F" w:rsidRDefault="001A5DFD" w:rsidP="00D44BB9">
            <w:pPr>
              <w:widowControl w:val="0"/>
              <w:autoSpaceDE w:val="0"/>
              <w:autoSpaceDN w:val="0"/>
              <w:adjustRightInd w:val="0"/>
              <w:spacing w:before="120" w:after="200" w:line="276" w:lineRule="auto"/>
              <w:contextualSpacing/>
              <w:jc w:val="both"/>
              <w:rPr>
                <w:rFonts w:eastAsia="Calibri"/>
                <w:sz w:val="24"/>
                <w:szCs w:val="24"/>
              </w:rPr>
            </w:pPr>
          </w:p>
        </w:tc>
      </w:tr>
    </w:tbl>
    <w:p w14:paraId="4A7B6C34" w14:textId="5C080C69" w:rsidR="00232674" w:rsidRPr="00232674" w:rsidRDefault="00232674" w:rsidP="00232674">
      <w:pPr>
        <w:spacing w:after="0" w:line="240" w:lineRule="auto"/>
        <w:contextualSpacing/>
        <w:jc w:val="both"/>
        <w:rPr>
          <w:rFonts w:ascii="Times New Roman" w:eastAsia="Calibri" w:hAnsi="Times New Roman" w:cs="Times New Roman"/>
          <w:sz w:val="24"/>
          <w:szCs w:val="24"/>
          <w:lang w:eastAsia="bg-BG"/>
        </w:rPr>
      </w:pPr>
      <w:bookmarkStart w:id="54" w:name="_Toc445385602"/>
    </w:p>
    <w:p w14:paraId="59FCB621" w14:textId="77777777" w:rsidR="009B4E4D" w:rsidRPr="007713C1" w:rsidRDefault="00F21DA5" w:rsidP="007570DC">
      <w:pPr>
        <w:pStyle w:val="Heading1"/>
      </w:pPr>
      <w:bookmarkStart w:id="55" w:name="_Toc534292220"/>
      <w:r w:rsidRPr="007713C1">
        <w:t>17. Хоризонтални политики</w:t>
      </w:r>
      <w:r w:rsidR="00C6489D" w:rsidRPr="007713C1">
        <w:t>:</w:t>
      </w:r>
      <w:bookmarkEnd w:id="54"/>
      <w:bookmarkEnd w:id="55"/>
    </w:p>
    <w:tbl>
      <w:tblPr>
        <w:tblStyle w:val="TableGrid"/>
        <w:tblW w:w="0" w:type="auto"/>
        <w:tblLook w:val="04A0" w:firstRow="1" w:lastRow="0" w:firstColumn="1" w:lastColumn="0" w:noHBand="0" w:noVBand="1"/>
      </w:tblPr>
      <w:tblGrid>
        <w:gridCol w:w="9346"/>
      </w:tblGrid>
      <w:tr w:rsidR="00C6489D" w:rsidRPr="007713C1" w14:paraId="6DD5EC6D" w14:textId="77777777" w:rsidTr="00C6489D">
        <w:tc>
          <w:tcPr>
            <w:tcW w:w="9496" w:type="dxa"/>
          </w:tcPr>
          <w:p w14:paraId="19433AE7" w14:textId="77777777" w:rsidR="00675456" w:rsidRPr="00675456" w:rsidRDefault="00675456" w:rsidP="00675456">
            <w:pPr>
              <w:jc w:val="both"/>
              <w:rPr>
                <w:sz w:val="24"/>
                <w:szCs w:val="24"/>
              </w:rPr>
            </w:pPr>
            <w:r w:rsidRPr="00675456">
              <w:rPr>
                <w:sz w:val="24"/>
                <w:szCs w:val="24"/>
              </w:rPr>
              <w:t>По настоящата процедура следва да е налице съответствие на проектните предложения със следните принципи на хоризонталните политики на ЕС:</w:t>
            </w:r>
          </w:p>
          <w:p w14:paraId="4337633E" w14:textId="77777777" w:rsidR="00675456" w:rsidRPr="00675456" w:rsidRDefault="00675456" w:rsidP="00675456">
            <w:pPr>
              <w:jc w:val="both"/>
              <w:rPr>
                <w:sz w:val="24"/>
                <w:szCs w:val="24"/>
              </w:rPr>
            </w:pPr>
          </w:p>
          <w:p w14:paraId="3EE72B9F" w14:textId="77777777" w:rsidR="00675456" w:rsidRPr="00675456" w:rsidRDefault="00675456" w:rsidP="00675456">
            <w:pPr>
              <w:jc w:val="both"/>
              <w:rPr>
                <w:sz w:val="24"/>
                <w:szCs w:val="24"/>
              </w:rPr>
            </w:pPr>
            <w:r w:rsidRPr="00675456">
              <w:rPr>
                <w:sz w:val="24"/>
                <w:szCs w:val="24"/>
              </w:rPr>
              <w:t>1. Равенство между половете и липса на дискриминация</w:t>
            </w:r>
          </w:p>
          <w:p w14:paraId="45815465" w14:textId="77777777" w:rsidR="00675456" w:rsidRPr="00675456" w:rsidRDefault="00675456" w:rsidP="00675456">
            <w:pPr>
              <w:jc w:val="both"/>
              <w:rPr>
                <w:sz w:val="24"/>
                <w:szCs w:val="24"/>
              </w:rPr>
            </w:pPr>
          </w:p>
          <w:p w14:paraId="0D8F742C" w14:textId="561C2C60" w:rsidR="00675456" w:rsidRPr="00675456" w:rsidRDefault="00675456" w:rsidP="00675456">
            <w:pPr>
              <w:jc w:val="both"/>
              <w:rPr>
                <w:sz w:val="24"/>
                <w:szCs w:val="24"/>
              </w:rPr>
            </w:pPr>
            <w:r w:rsidRPr="00675456">
              <w:rPr>
                <w:sz w:val="24"/>
                <w:szCs w:val="24"/>
              </w:rPr>
              <w:lastRenderedPageBreak/>
              <w:t>При изпълнението на проектните дейности бенефицие</w:t>
            </w:r>
            <w:r w:rsidR="00FD5D8D">
              <w:rPr>
                <w:sz w:val="24"/>
                <w:szCs w:val="24"/>
              </w:rPr>
              <w:t>нтите следва да спазват принципите</w:t>
            </w:r>
            <w:r w:rsidRPr="00675456">
              <w:rPr>
                <w:sz w:val="24"/>
                <w:szCs w:val="24"/>
              </w:rPr>
              <w:t xml:space="preserve"> на равнопоставеността на половете и на равните възможности – т.е. при изпълнението на проектните дейности не трябва да бъдат поставяни ограничения, основани на пол, раса, народност, етническа принадлежност, гражданство, произход, религия или вяра, образование, убеждения, политическа принадлежност, лично или обществено положение, увреждане, възраст, сексуална ориентация, семейно положение, имуществено състояние и др.</w:t>
            </w:r>
          </w:p>
          <w:p w14:paraId="5368686A" w14:textId="77777777" w:rsidR="00675456" w:rsidRPr="00675456" w:rsidRDefault="00675456" w:rsidP="00675456">
            <w:pPr>
              <w:jc w:val="both"/>
              <w:rPr>
                <w:sz w:val="24"/>
                <w:szCs w:val="24"/>
              </w:rPr>
            </w:pPr>
          </w:p>
          <w:p w14:paraId="677A9FB2" w14:textId="77777777" w:rsidR="00675456" w:rsidRPr="00675456" w:rsidRDefault="00675456" w:rsidP="00675456">
            <w:pPr>
              <w:jc w:val="both"/>
              <w:rPr>
                <w:sz w:val="24"/>
                <w:szCs w:val="24"/>
              </w:rPr>
            </w:pPr>
            <w:r w:rsidRPr="00675456">
              <w:rPr>
                <w:sz w:val="24"/>
                <w:szCs w:val="24"/>
              </w:rPr>
              <w:t>2. Устойчиво развитие (защита на околната среда)</w:t>
            </w:r>
          </w:p>
          <w:p w14:paraId="664D4CCC" w14:textId="77777777" w:rsidR="00675456" w:rsidRPr="00675456" w:rsidRDefault="00675456" w:rsidP="00675456">
            <w:pPr>
              <w:jc w:val="both"/>
              <w:rPr>
                <w:sz w:val="24"/>
                <w:szCs w:val="24"/>
              </w:rPr>
            </w:pPr>
          </w:p>
          <w:p w14:paraId="3E8825D8" w14:textId="77777777" w:rsidR="00675456" w:rsidRPr="00675456" w:rsidRDefault="00675456" w:rsidP="00675456">
            <w:pPr>
              <w:jc w:val="both"/>
              <w:rPr>
                <w:sz w:val="24"/>
                <w:szCs w:val="24"/>
              </w:rPr>
            </w:pPr>
            <w:r w:rsidRPr="00675456">
              <w:rPr>
                <w:sz w:val="24"/>
                <w:szCs w:val="24"/>
              </w:rPr>
              <w:t>Проектните предложения е желателно да бъдат насочени към постигането на устойчивост и опазване на околната среда. При избора на проекти за финансиране ще се дисквалифицират проекти, които имат негативно въздействие върху някой от компонентите на околната среда. Изпълнение на дейностите по мярката се допуска при спазване на националното природозащитно законодателство и след получаването на всички предвидени по закон разрешителни от компетентните органи.</w:t>
            </w:r>
          </w:p>
          <w:p w14:paraId="0820B35A" w14:textId="77777777" w:rsidR="00675456" w:rsidRPr="00675456" w:rsidRDefault="00675456" w:rsidP="00675456">
            <w:pPr>
              <w:jc w:val="both"/>
              <w:rPr>
                <w:sz w:val="24"/>
                <w:szCs w:val="24"/>
              </w:rPr>
            </w:pPr>
          </w:p>
          <w:p w14:paraId="698D3C0A" w14:textId="77777777" w:rsidR="00675456" w:rsidRPr="00675456" w:rsidRDefault="00675456" w:rsidP="00675456">
            <w:pPr>
              <w:jc w:val="both"/>
              <w:rPr>
                <w:sz w:val="24"/>
                <w:szCs w:val="24"/>
              </w:rPr>
            </w:pPr>
            <w:r w:rsidRPr="00675456">
              <w:rPr>
                <w:sz w:val="24"/>
                <w:szCs w:val="24"/>
              </w:rPr>
              <w:t>3. Насърчаване на заетостта и конкурентоспособността</w:t>
            </w:r>
          </w:p>
          <w:p w14:paraId="6A453C3F" w14:textId="77777777" w:rsidR="00675456" w:rsidRPr="00675456" w:rsidRDefault="00675456" w:rsidP="00675456">
            <w:pPr>
              <w:jc w:val="both"/>
              <w:rPr>
                <w:sz w:val="24"/>
                <w:szCs w:val="24"/>
              </w:rPr>
            </w:pPr>
          </w:p>
          <w:p w14:paraId="7D253D4F" w14:textId="3FA0EF8B" w:rsidR="00675456" w:rsidRPr="00675456" w:rsidRDefault="00675456" w:rsidP="00675456">
            <w:pPr>
              <w:jc w:val="both"/>
              <w:rPr>
                <w:sz w:val="24"/>
                <w:szCs w:val="24"/>
              </w:rPr>
            </w:pPr>
            <w:r w:rsidRPr="00675456">
              <w:rPr>
                <w:sz w:val="24"/>
                <w:szCs w:val="24"/>
              </w:rPr>
              <w:t>Целите, подцелите и приоритетите на СВОМР са директно насочени към насърчаване на заетостта и конкурентоспособността на територията на МИ</w:t>
            </w:r>
            <w:r w:rsidR="00FD5D8D">
              <w:rPr>
                <w:sz w:val="24"/>
                <w:szCs w:val="24"/>
              </w:rPr>
              <w:t>Г Поморие</w:t>
            </w:r>
            <w:r w:rsidRPr="00675456">
              <w:rPr>
                <w:sz w:val="24"/>
                <w:szCs w:val="24"/>
              </w:rPr>
              <w:t xml:space="preserve">. Стимулира се диферсифицирането на икономическите дейности и обвързването им с устойчиви практики. </w:t>
            </w:r>
          </w:p>
          <w:p w14:paraId="18AE0CA4" w14:textId="77777777" w:rsidR="00675456" w:rsidRPr="00675456" w:rsidRDefault="00675456" w:rsidP="00675456">
            <w:pPr>
              <w:jc w:val="both"/>
              <w:rPr>
                <w:sz w:val="24"/>
                <w:szCs w:val="24"/>
              </w:rPr>
            </w:pPr>
          </w:p>
          <w:p w14:paraId="23F7A086" w14:textId="6827BCAD" w:rsidR="00401464" w:rsidRPr="00E568E5" w:rsidRDefault="00675456" w:rsidP="00675456">
            <w:pPr>
              <w:jc w:val="both"/>
              <w:rPr>
                <w:sz w:val="24"/>
                <w:szCs w:val="24"/>
              </w:rPr>
            </w:pPr>
            <w:r w:rsidRPr="00675456">
              <w:rPr>
                <w:sz w:val="24"/>
                <w:szCs w:val="24"/>
              </w:rPr>
              <w:t>В т. 11 от Формуляра за кандидатстване кандидатите следва да представят информация за съответствието на проектното предложение с посочените принципи. Прилагането на заложените в проекта принципи ще се проследява на етап изпълнение на проектното предложение.</w:t>
            </w:r>
          </w:p>
        </w:tc>
      </w:tr>
    </w:tbl>
    <w:p w14:paraId="0F78CDBD" w14:textId="77777777" w:rsidR="00446AA8" w:rsidRDefault="00446AA8" w:rsidP="007570DC">
      <w:pPr>
        <w:pStyle w:val="Heading1"/>
      </w:pPr>
      <w:bookmarkStart w:id="56" w:name="_Toc445385607"/>
    </w:p>
    <w:p w14:paraId="42DBF0D5" w14:textId="77777777" w:rsidR="004728F6" w:rsidRPr="007713C1" w:rsidRDefault="004728F6" w:rsidP="007570DC">
      <w:pPr>
        <w:pStyle w:val="Heading1"/>
      </w:pPr>
      <w:bookmarkStart w:id="57" w:name="_Toc534292221"/>
      <w:r w:rsidRPr="007713C1">
        <w:t>18. Минимален и максимален срок за изпълнение на проекта:</w:t>
      </w:r>
      <w:bookmarkEnd w:id="56"/>
      <w:bookmarkEnd w:id="57"/>
    </w:p>
    <w:tbl>
      <w:tblPr>
        <w:tblStyle w:val="TableGrid"/>
        <w:tblW w:w="0" w:type="auto"/>
        <w:tblLook w:val="04A0" w:firstRow="1" w:lastRow="0" w:firstColumn="1" w:lastColumn="0" w:noHBand="0" w:noVBand="1"/>
      </w:tblPr>
      <w:tblGrid>
        <w:gridCol w:w="9346"/>
      </w:tblGrid>
      <w:tr w:rsidR="00922478" w:rsidRPr="007713C1" w14:paraId="1D5ED454" w14:textId="77777777" w:rsidTr="00BE42E8">
        <w:tc>
          <w:tcPr>
            <w:tcW w:w="9346" w:type="dxa"/>
          </w:tcPr>
          <w:p w14:paraId="4A6AC8D5" w14:textId="4DA73370" w:rsidR="0031630B" w:rsidRPr="00A92938" w:rsidRDefault="0031630B" w:rsidP="0031630B">
            <w:pPr>
              <w:spacing w:before="120" w:after="120"/>
              <w:jc w:val="both"/>
              <w:rPr>
                <w:sz w:val="24"/>
                <w:szCs w:val="24"/>
              </w:rPr>
            </w:pPr>
            <w:r w:rsidRPr="0031630B">
              <w:rPr>
                <w:sz w:val="24"/>
                <w:szCs w:val="24"/>
              </w:rPr>
              <w:t>Продължителността на изпълнение на всеки проект не следва да на</w:t>
            </w:r>
            <w:r w:rsidR="00A92938">
              <w:rPr>
                <w:sz w:val="24"/>
                <w:szCs w:val="24"/>
              </w:rPr>
              <w:t>двишава 36 месеца.</w:t>
            </w:r>
          </w:p>
          <w:p w14:paraId="382277E8" w14:textId="7C5DADE8" w:rsidR="00C73460" w:rsidRPr="007713C1" w:rsidRDefault="0031630B" w:rsidP="0031630B">
            <w:pPr>
              <w:spacing w:before="120" w:after="120"/>
              <w:jc w:val="both"/>
              <w:rPr>
                <w:sz w:val="24"/>
                <w:szCs w:val="24"/>
              </w:rPr>
            </w:pPr>
            <w:r w:rsidRPr="0031630B">
              <w:rPr>
                <w:b/>
                <w:sz w:val="24"/>
                <w:szCs w:val="24"/>
              </w:rPr>
              <w:t>Крайният срок за изпълнение на дейностите по проектите към стратегият</w:t>
            </w:r>
            <w:r>
              <w:rPr>
                <w:b/>
                <w:sz w:val="24"/>
                <w:szCs w:val="24"/>
              </w:rPr>
              <w:t>а за ВОМР на МИГ</w:t>
            </w:r>
            <w:r w:rsidRPr="0031630B">
              <w:rPr>
                <w:b/>
                <w:sz w:val="24"/>
                <w:szCs w:val="24"/>
              </w:rPr>
              <w:t xml:space="preserve"> </w:t>
            </w:r>
            <w:r>
              <w:rPr>
                <w:b/>
                <w:sz w:val="24"/>
                <w:szCs w:val="24"/>
              </w:rPr>
              <w:t>Поморие</w:t>
            </w:r>
            <w:r w:rsidR="00572592">
              <w:rPr>
                <w:b/>
                <w:sz w:val="24"/>
                <w:szCs w:val="24"/>
              </w:rPr>
              <w:t xml:space="preserve"> е до 30 юни 2025</w:t>
            </w:r>
            <w:r w:rsidRPr="0031630B">
              <w:rPr>
                <w:b/>
                <w:sz w:val="24"/>
                <w:szCs w:val="24"/>
              </w:rPr>
              <w:t xml:space="preserve"> г.</w:t>
            </w:r>
          </w:p>
        </w:tc>
      </w:tr>
    </w:tbl>
    <w:p w14:paraId="6D6ADA91" w14:textId="77777777" w:rsidR="00BE42E8" w:rsidRPr="00D137FE" w:rsidRDefault="00BE42E8" w:rsidP="00245AA2">
      <w:pPr>
        <w:pStyle w:val="Heading1"/>
      </w:pPr>
      <w:bookmarkStart w:id="58" w:name="_Toc505614659"/>
      <w:bookmarkStart w:id="59" w:name="_Toc534292222"/>
      <w:bookmarkStart w:id="60" w:name="_Toc445385608"/>
      <w:r w:rsidRPr="00D137FE">
        <w:t>19. Ред за оценяване на концепциите за проектни предложения:</w:t>
      </w:r>
      <w:bookmarkEnd w:id="58"/>
      <w:bookmarkEnd w:id="59"/>
    </w:p>
    <w:tbl>
      <w:tblPr>
        <w:tblStyle w:val="TableGrid"/>
        <w:tblW w:w="0" w:type="auto"/>
        <w:tblLook w:val="04A0" w:firstRow="1" w:lastRow="0" w:firstColumn="1" w:lastColumn="0" w:noHBand="0" w:noVBand="1"/>
      </w:tblPr>
      <w:tblGrid>
        <w:gridCol w:w="9212"/>
      </w:tblGrid>
      <w:tr w:rsidR="00BE42E8" w:rsidRPr="00BE42E8" w14:paraId="0D4E275F" w14:textId="77777777" w:rsidTr="004D2204">
        <w:tc>
          <w:tcPr>
            <w:tcW w:w="9212" w:type="dxa"/>
          </w:tcPr>
          <w:p w14:paraId="374FD93F" w14:textId="77777777" w:rsidR="00BE42E8" w:rsidRPr="00D137FE" w:rsidRDefault="00BE42E8" w:rsidP="004D2204">
            <w:pPr>
              <w:rPr>
                <w:sz w:val="24"/>
                <w:szCs w:val="24"/>
              </w:rPr>
            </w:pPr>
            <w:r w:rsidRPr="00D137FE">
              <w:rPr>
                <w:sz w:val="24"/>
                <w:szCs w:val="24"/>
              </w:rPr>
              <w:t>Неприложимо</w:t>
            </w:r>
          </w:p>
        </w:tc>
      </w:tr>
    </w:tbl>
    <w:p w14:paraId="0A49270E" w14:textId="77777777" w:rsidR="00BE42E8" w:rsidRPr="00D137FE" w:rsidRDefault="00BE42E8" w:rsidP="00245AA2">
      <w:pPr>
        <w:pStyle w:val="Heading1"/>
      </w:pPr>
      <w:bookmarkStart w:id="61" w:name="_Toc505614660"/>
      <w:bookmarkStart w:id="62" w:name="_Toc534292223"/>
      <w:r w:rsidRPr="00D137FE">
        <w:lastRenderedPageBreak/>
        <w:t>20. Критерии и методика за оценка на концепциите за проектни предложения:</w:t>
      </w:r>
      <w:bookmarkEnd w:id="61"/>
      <w:bookmarkEnd w:id="62"/>
    </w:p>
    <w:tbl>
      <w:tblPr>
        <w:tblStyle w:val="TableGrid"/>
        <w:tblW w:w="0" w:type="auto"/>
        <w:tblLook w:val="04A0" w:firstRow="1" w:lastRow="0" w:firstColumn="1" w:lastColumn="0" w:noHBand="0" w:noVBand="1"/>
      </w:tblPr>
      <w:tblGrid>
        <w:gridCol w:w="9212"/>
      </w:tblGrid>
      <w:tr w:rsidR="00BE42E8" w:rsidRPr="00BE42E8" w14:paraId="50331EEA" w14:textId="77777777" w:rsidTr="004D2204">
        <w:tc>
          <w:tcPr>
            <w:tcW w:w="9212" w:type="dxa"/>
          </w:tcPr>
          <w:p w14:paraId="336BF8C3" w14:textId="77777777" w:rsidR="00BE42E8" w:rsidRPr="00D137FE" w:rsidRDefault="00BE42E8" w:rsidP="004D2204">
            <w:pPr>
              <w:rPr>
                <w:sz w:val="24"/>
                <w:szCs w:val="24"/>
              </w:rPr>
            </w:pPr>
            <w:r w:rsidRPr="00D137FE">
              <w:rPr>
                <w:sz w:val="24"/>
                <w:szCs w:val="24"/>
              </w:rPr>
              <w:t>Неприложимо</w:t>
            </w:r>
          </w:p>
        </w:tc>
      </w:tr>
    </w:tbl>
    <w:p w14:paraId="5B790D27" w14:textId="77777777" w:rsidR="00BE42E8" w:rsidRPr="00BE42E8" w:rsidRDefault="00BE42E8" w:rsidP="00D137FE"/>
    <w:p w14:paraId="086E693C" w14:textId="3573E55A" w:rsidR="00B2729A" w:rsidRDefault="00BE42E8" w:rsidP="00A13AAF">
      <w:pPr>
        <w:pStyle w:val="Heading1"/>
      </w:pPr>
      <w:bookmarkStart w:id="63" w:name="_Toc534292224"/>
      <w:r>
        <w:t>21</w:t>
      </w:r>
      <w:r w:rsidR="00FF0B9A" w:rsidRPr="007713C1">
        <w:t xml:space="preserve">. </w:t>
      </w:r>
      <w:bookmarkStart w:id="64" w:name="_Toc445385610"/>
      <w:bookmarkEnd w:id="60"/>
      <w:r w:rsidR="007C2DB2" w:rsidRPr="007713C1">
        <w:t>Ред за оценяване на проектните предложения:</w:t>
      </w:r>
      <w:bookmarkEnd w:id="63"/>
      <w:bookmarkEnd w:id="64"/>
    </w:p>
    <w:tbl>
      <w:tblPr>
        <w:tblStyle w:val="TableGrid"/>
        <w:tblW w:w="0" w:type="auto"/>
        <w:tblLook w:val="04A0" w:firstRow="1" w:lastRow="0" w:firstColumn="1" w:lastColumn="0" w:noHBand="0" w:noVBand="1"/>
      </w:tblPr>
      <w:tblGrid>
        <w:gridCol w:w="9212"/>
      </w:tblGrid>
      <w:tr w:rsidR="00B2729A" w:rsidRPr="00A2252C" w14:paraId="24B2F0DA" w14:textId="77777777" w:rsidTr="004D2204">
        <w:tc>
          <w:tcPr>
            <w:tcW w:w="9212" w:type="dxa"/>
          </w:tcPr>
          <w:p w14:paraId="54616A6A" w14:textId="411640F9" w:rsidR="005225F3" w:rsidRDefault="005225F3" w:rsidP="005225F3">
            <w:pPr>
              <w:jc w:val="both"/>
              <w:rPr>
                <w:sz w:val="24"/>
                <w:szCs w:val="24"/>
              </w:rPr>
            </w:pPr>
            <w:r w:rsidRPr="005225F3">
              <w:rPr>
                <w:sz w:val="24"/>
                <w:szCs w:val="24"/>
              </w:rPr>
              <w:t xml:space="preserve">Подборът на проектни предложения, финансирани от ЕЗФРСР към стратегия за ВОМР на МИГ Поморие се извършва по условията и реда на раздел I "Подбор на проекти към стратегия за ВОМР" от глава пета от ПМС № 161 на МС от 04.07.2016 г. за определяне на правила за координация между управляващите органи на програмите и местните инициативни групи, и местните инициативни рибарски групи във връзка с изпълнението на Подхода „Водено от общностите местно развитие“  за периода 2014 – 2020 г. </w:t>
            </w:r>
          </w:p>
          <w:p w14:paraId="73336A0E" w14:textId="77777777" w:rsidR="005225F3" w:rsidRPr="005225F3" w:rsidRDefault="005225F3" w:rsidP="005225F3">
            <w:pPr>
              <w:jc w:val="both"/>
              <w:rPr>
                <w:sz w:val="24"/>
                <w:szCs w:val="24"/>
              </w:rPr>
            </w:pPr>
          </w:p>
          <w:p w14:paraId="08C5BB66" w14:textId="55792DB8" w:rsidR="00B2729A" w:rsidRPr="00BC2D4C" w:rsidRDefault="005225F3" w:rsidP="00BC2D4C">
            <w:pPr>
              <w:jc w:val="both"/>
              <w:rPr>
                <w:sz w:val="24"/>
                <w:szCs w:val="24"/>
              </w:rPr>
            </w:pPr>
            <w:r w:rsidRPr="005225F3">
              <w:rPr>
                <w:sz w:val="24"/>
                <w:szCs w:val="24"/>
              </w:rPr>
              <w:t xml:space="preserve">Пълната информация относно оценяването и класирането на проектните предложения се съдържа в раздел „Ред за оценка на проектни предложения“, документ “Ред за оценка на проектни предложения по Програма за развитие на селските райони 2014-2020 г.”, публикуван на сайта на МИГ-Поморие </w:t>
            </w:r>
            <w:hyperlink r:id="rId22" w:history="1">
              <w:r w:rsidR="00B82F18" w:rsidRPr="009F010F">
                <w:rPr>
                  <w:rStyle w:val="Hyperlink"/>
                  <w:sz w:val="24"/>
                  <w:szCs w:val="24"/>
                </w:rPr>
                <w:t>www.mig-pomorie.eu</w:t>
              </w:r>
            </w:hyperlink>
            <w:r w:rsidRPr="005225F3">
              <w:rPr>
                <w:sz w:val="24"/>
                <w:szCs w:val="24"/>
              </w:rPr>
              <w:t>.</w:t>
            </w:r>
          </w:p>
        </w:tc>
      </w:tr>
    </w:tbl>
    <w:p w14:paraId="0E369D57" w14:textId="77777777" w:rsidR="00B2729A" w:rsidRDefault="00B2729A" w:rsidP="00D137FE"/>
    <w:p w14:paraId="6B15E73C" w14:textId="77777777" w:rsidR="00E52E5A" w:rsidRDefault="00E52E5A" w:rsidP="00D137FE"/>
    <w:p w14:paraId="4254D43F" w14:textId="77777777" w:rsidR="00E52E5A" w:rsidRDefault="00E52E5A" w:rsidP="00D137FE"/>
    <w:p w14:paraId="4B5F3AA5" w14:textId="77777777" w:rsidR="00E52E5A" w:rsidRDefault="00E52E5A" w:rsidP="00D137FE"/>
    <w:p w14:paraId="1F59A9E7" w14:textId="77777777" w:rsidR="00E52E5A" w:rsidRDefault="00E52E5A" w:rsidP="00D137FE"/>
    <w:p w14:paraId="0EC7C651" w14:textId="6E528A8E" w:rsidR="00B2729A" w:rsidRPr="00B2729A" w:rsidRDefault="00A13AAF" w:rsidP="00D137FE">
      <w:pPr>
        <w:pStyle w:val="Heading2"/>
      </w:pPr>
      <w:bookmarkStart w:id="65" w:name="_Toc505614663"/>
      <w:bookmarkStart w:id="66" w:name="_Toc534292225"/>
      <w:r w:rsidRPr="00D137FE">
        <w:t>21.1. Оценка на административното съответствие и допустимост:</w:t>
      </w:r>
      <w:bookmarkEnd w:id="65"/>
      <w:bookmarkEnd w:id="66"/>
    </w:p>
    <w:tbl>
      <w:tblPr>
        <w:tblStyle w:val="TableGrid"/>
        <w:tblW w:w="9498" w:type="dxa"/>
        <w:tblInd w:w="-147" w:type="dxa"/>
        <w:tblLook w:val="04A0" w:firstRow="1" w:lastRow="0" w:firstColumn="1" w:lastColumn="0" w:noHBand="0" w:noVBand="1"/>
      </w:tblPr>
      <w:tblGrid>
        <w:gridCol w:w="9498"/>
      </w:tblGrid>
      <w:tr w:rsidR="007C2DB2" w:rsidRPr="007713C1" w14:paraId="1295B7B2" w14:textId="77777777" w:rsidTr="00C12D0A">
        <w:tc>
          <w:tcPr>
            <w:tcW w:w="9498" w:type="dxa"/>
          </w:tcPr>
          <w:p w14:paraId="1F78E3A7" w14:textId="05C71B20" w:rsidR="00D77C81" w:rsidRDefault="00D77C81" w:rsidP="00D77C81"/>
          <w:p w14:paraId="0E070426" w14:textId="77777777" w:rsidR="00697F20" w:rsidRPr="0094785F" w:rsidRDefault="00697F20" w:rsidP="00697F20">
            <w:pPr>
              <w:jc w:val="both"/>
              <w:rPr>
                <w:rFonts w:eastAsia="Calibri"/>
                <w:sz w:val="24"/>
                <w:szCs w:val="24"/>
                <w:lang w:eastAsia="en-US"/>
              </w:rPr>
            </w:pPr>
            <w:r w:rsidRPr="0094785F">
              <w:rPr>
                <w:rFonts w:eastAsia="Calibri"/>
                <w:sz w:val="24"/>
                <w:szCs w:val="24"/>
                <w:lang w:eastAsia="en-US"/>
              </w:rPr>
              <w:t xml:space="preserve">Оценка на проектни предложения по процедурата се извършва в ИСУН, съгласно условията и реда посочени в </w:t>
            </w:r>
            <w:r w:rsidRPr="0094785F">
              <w:rPr>
                <w:sz w:val="24"/>
                <w:szCs w:val="24"/>
              </w:rPr>
              <w:t>Минималните изисквания към реда за оценка на проектни предложения към СВОМР</w:t>
            </w:r>
            <w:r w:rsidRPr="0094785F">
              <w:rPr>
                <w:sz w:val="24"/>
                <w:szCs w:val="24"/>
                <w:vertAlign w:val="superscript"/>
              </w:rPr>
              <w:footnoteReference w:id="3"/>
            </w:r>
            <w:r w:rsidRPr="0094785F">
              <w:rPr>
                <w:sz w:val="24"/>
                <w:szCs w:val="24"/>
              </w:rPr>
              <w:t xml:space="preserve"> по чл.41, ал.2 от ПМС 161/2016 г.</w:t>
            </w:r>
            <w:r w:rsidRPr="0094785F">
              <w:rPr>
                <w:rFonts w:eastAsia="Calibri"/>
                <w:sz w:val="24"/>
                <w:szCs w:val="24"/>
                <w:lang w:eastAsia="en-US"/>
              </w:rPr>
              <w:t xml:space="preserve"> </w:t>
            </w:r>
          </w:p>
          <w:p w14:paraId="3E36ED83" w14:textId="77777777" w:rsidR="00697F20" w:rsidRDefault="00697F20" w:rsidP="00697F20">
            <w:pPr>
              <w:jc w:val="both"/>
              <w:rPr>
                <w:sz w:val="24"/>
                <w:szCs w:val="24"/>
              </w:rPr>
            </w:pPr>
            <w:r w:rsidRPr="0094785F">
              <w:rPr>
                <w:rFonts w:eastAsia="Calibri"/>
                <w:sz w:val="24"/>
                <w:szCs w:val="24"/>
                <w:lang w:eastAsia="en-US"/>
              </w:rPr>
              <w:t xml:space="preserve">Оценката се извършва от Комисия за подбор на проектни предложения </w:t>
            </w:r>
            <w:r w:rsidRPr="0094785F">
              <w:rPr>
                <w:sz w:val="24"/>
                <w:szCs w:val="24"/>
              </w:rPr>
              <w:t>в срок до 30 работни дни от крайния срок на приема</w:t>
            </w:r>
            <w:r w:rsidRPr="0094785F">
              <w:rPr>
                <w:rFonts w:eastAsia="Calibri"/>
                <w:sz w:val="24"/>
                <w:szCs w:val="24"/>
                <w:lang w:eastAsia="en-US"/>
              </w:rPr>
              <w:t>. Комисията за подбор на проектни предложения е съставена от: председател без право на</w:t>
            </w:r>
            <w:r w:rsidRPr="0094785F">
              <w:rPr>
                <w:rFonts w:eastAsia="Calibri"/>
                <w:sz w:val="24"/>
                <w:szCs w:val="24"/>
                <w:lang w:val="en-US" w:eastAsia="en-US"/>
              </w:rPr>
              <w:t xml:space="preserve"> </w:t>
            </w:r>
            <w:r w:rsidRPr="0094785F">
              <w:rPr>
                <w:rFonts w:eastAsia="Calibri"/>
                <w:sz w:val="24"/>
                <w:szCs w:val="24"/>
                <w:lang w:eastAsia="en-US"/>
              </w:rPr>
              <w:t>глас, секретар без право на глас, нечетен брой членове с право на глас – не по-малко от трима и</w:t>
            </w:r>
            <w:r w:rsidRPr="0094785F">
              <w:rPr>
                <w:rFonts w:eastAsia="Calibri"/>
                <w:sz w:val="24"/>
                <w:szCs w:val="24"/>
                <w:lang w:val="en-US" w:eastAsia="en-US"/>
              </w:rPr>
              <w:t xml:space="preserve"> </w:t>
            </w:r>
            <w:r w:rsidRPr="0094785F">
              <w:rPr>
                <w:rFonts w:eastAsia="Calibri"/>
                <w:sz w:val="24"/>
                <w:szCs w:val="24"/>
                <w:lang w:eastAsia="en-US"/>
              </w:rPr>
              <w:t>резервни членове – не по-малко от трима, като с</w:t>
            </w:r>
            <w:r w:rsidRPr="0094785F">
              <w:rPr>
                <w:sz w:val="24"/>
                <w:szCs w:val="24"/>
              </w:rPr>
              <w:t>ъстава и числеността на комисията се определя</w:t>
            </w:r>
            <w:r w:rsidRPr="0094785F">
              <w:rPr>
                <w:rFonts w:eastAsia="Calibri"/>
                <w:sz w:val="24"/>
                <w:szCs w:val="24"/>
                <w:lang w:eastAsia="en-US"/>
              </w:rPr>
              <w:t xml:space="preserve"> със заповед на председателя на Управителния съвет на МИГ.</w:t>
            </w:r>
            <w:r w:rsidRPr="0094785F">
              <w:rPr>
                <w:sz w:val="24"/>
                <w:szCs w:val="24"/>
              </w:rPr>
              <w:t xml:space="preserve"> </w:t>
            </w:r>
          </w:p>
          <w:p w14:paraId="7AA2EC3B" w14:textId="77777777" w:rsidR="00BC2D4C" w:rsidRPr="0094785F" w:rsidRDefault="00BC2D4C" w:rsidP="00697F20">
            <w:pPr>
              <w:jc w:val="both"/>
              <w:rPr>
                <w:sz w:val="24"/>
                <w:szCs w:val="24"/>
              </w:rPr>
            </w:pPr>
          </w:p>
          <w:p w14:paraId="574D8F24" w14:textId="5FB64487" w:rsidR="00BC2D4C" w:rsidRDefault="00075CCB" w:rsidP="00697F20">
            <w:pPr>
              <w:jc w:val="both"/>
              <w:rPr>
                <w:sz w:val="24"/>
                <w:szCs w:val="24"/>
              </w:rPr>
            </w:pPr>
            <w:r w:rsidRPr="00075CCB">
              <w:rPr>
                <w:sz w:val="24"/>
                <w:szCs w:val="24"/>
              </w:rPr>
              <w:lastRenderedPageBreak/>
              <w:t>В работата на комисията могат да участват и наблюдатели на УО на ПРСР и на Държавен фонд „Земеделие“. При необходимост работата на комисията се подпомага и от помощник-оценители, които не са членове на КППП и чиято дейност се ограничава до етапите на оценка, определени в заповедта за назначаване на КППП.</w:t>
            </w:r>
          </w:p>
          <w:p w14:paraId="6E6FD40B" w14:textId="77777777" w:rsidR="00075CCB" w:rsidRPr="0094785F" w:rsidRDefault="00075CCB" w:rsidP="00697F20">
            <w:pPr>
              <w:jc w:val="both"/>
              <w:rPr>
                <w:rFonts w:eastAsia="Calibri"/>
                <w:sz w:val="24"/>
                <w:szCs w:val="24"/>
                <w:lang w:eastAsia="en-US"/>
              </w:rPr>
            </w:pPr>
          </w:p>
          <w:p w14:paraId="004AFCE3" w14:textId="77777777" w:rsidR="00697F20" w:rsidRPr="0094785F" w:rsidRDefault="00697F20" w:rsidP="00697F20">
            <w:pPr>
              <w:jc w:val="both"/>
              <w:rPr>
                <w:rFonts w:eastAsia="Calibri"/>
                <w:sz w:val="24"/>
                <w:szCs w:val="24"/>
                <w:lang w:eastAsia="en-US"/>
              </w:rPr>
            </w:pPr>
            <w:r w:rsidRPr="0094785F">
              <w:rPr>
                <w:rFonts w:eastAsia="Calibri"/>
                <w:sz w:val="24"/>
                <w:szCs w:val="24"/>
                <w:lang w:eastAsia="en-US"/>
              </w:rPr>
              <w:t>Оценката на проектните предложения включва:</w:t>
            </w:r>
          </w:p>
          <w:p w14:paraId="57D450C1" w14:textId="77777777" w:rsidR="00697F20" w:rsidRPr="0094785F" w:rsidRDefault="00697F20" w:rsidP="00697F20">
            <w:pPr>
              <w:jc w:val="both"/>
              <w:rPr>
                <w:rFonts w:eastAsia="Calibri"/>
                <w:sz w:val="24"/>
                <w:szCs w:val="24"/>
                <w:lang w:eastAsia="en-US"/>
              </w:rPr>
            </w:pPr>
            <w:r w:rsidRPr="0094785F">
              <w:rPr>
                <w:rFonts w:eastAsia="Calibri"/>
                <w:sz w:val="24"/>
                <w:szCs w:val="24"/>
                <w:lang w:eastAsia="en-US"/>
              </w:rPr>
              <w:tab/>
              <w:t>1. Оценка на административното съответствие и допустимостта;</w:t>
            </w:r>
          </w:p>
          <w:p w14:paraId="072AD01D" w14:textId="77777777" w:rsidR="00697F20" w:rsidRPr="0094785F" w:rsidRDefault="00697F20" w:rsidP="00697F20">
            <w:pPr>
              <w:jc w:val="both"/>
              <w:rPr>
                <w:rFonts w:eastAsia="Calibri"/>
                <w:sz w:val="24"/>
                <w:szCs w:val="24"/>
                <w:lang w:eastAsia="en-US"/>
              </w:rPr>
            </w:pPr>
            <w:r w:rsidRPr="0094785F">
              <w:rPr>
                <w:rFonts w:eastAsia="Calibri"/>
                <w:sz w:val="24"/>
                <w:szCs w:val="24"/>
                <w:lang w:eastAsia="en-US"/>
              </w:rPr>
              <w:tab/>
              <w:t>2. Техническа и финансова оценка.</w:t>
            </w:r>
          </w:p>
          <w:p w14:paraId="107E9BCA" w14:textId="77777777" w:rsidR="00697F20" w:rsidRPr="0094785F" w:rsidRDefault="00697F20" w:rsidP="00697F20">
            <w:pPr>
              <w:jc w:val="both"/>
              <w:rPr>
                <w:rFonts w:eastAsia="Calibri"/>
                <w:sz w:val="24"/>
                <w:szCs w:val="24"/>
                <w:lang w:eastAsia="en-US"/>
              </w:rPr>
            </w:pPr>
          </w:p>
          <w:p w14:paraId="642B5126" w14:textId="77777777" w:rsidR="00697F20" w:rsidRPr="0094785F" w:rsidRDefault="00697F20" w:rsidP="00697F20">
            <w:pPr>
              <w:jc w:val="both"/>
              <w:rPr>
                <w:sz w:val="24"/>
                <w:szCs w:val="24"/>
              </w:rPr>
            </w:pPr>
            <w:r w:rsidRPr="0094785F">
              <w:rPr>
                <w:sz w:val="24"/>
                <w:szCs w:val="24"/>
                <w:u w:val="single"/>
              </w:rPr>
              <w:t>Оценката на административното съответствие и допустимостта</w:t>
            </w:r>
            <w:r w:rsidRPr="0094785F">
              <w:rPr>
                <w:sz w:val="24"/>
                <w:szCs w:val="24"/>
              </w:rPr>
              <w:t xml:space="preserve"> </w:t>
            </w:r>
            <w:r w:rsidRPr="0094785F">
              <w:rPr>
                <w:sz w:val="24"/>
                <w:szCs w:val="24"/>
                <w:lang w:val="en-US"/>
              </w:rPr>
              <w:t>(</w:t>
            </w:r>
            <w:r w:rsidRPr="0094785F">
              <w:rPr>
                <w:sz w:val="24"/>
                <w:szCs w:val="24"/>
              </w:rPr>
              <w:t>включваща и проверка за основателността на предложените разходи</w:t>
            </w:r>
            <w:r w:rsidRPr="0094785F">
              <w:rPr>
                <w:sz w:val="24"/>
                <w:szCs w:val="24"/>
                <w:lang w:val="en-US"/>
              </w:rPr>
              <w:t>)</w:t>
            </w:r>
            <w:r w:rsidRPr="0094785F">
              <w:rPr>
                <w:sz w:val="24"/>
                <w:szCs w:val="24"/>
              </w:rPr>
              <w:t xml:space="preserve"> се извършва от двама членове на комисията. При необходимост те</w:t>
            </w:r>
            <w:r w:rsidRPr="0094785F">
              <w:rPr>
                <w:color w:val="FF0000"/>
                <w:sz w:val="24"/>
                <w:szCs w:val="24"/>
              </w:rPr>
              <w:t xml:space="preserve"> </w:t>
            </w:r>
            <w:r w:rsidRPr="0094785F">
              <w:rPr>
                <w:sz w:val="24"/>
                <w:szCs w:val="24"/>
              </w:rPr>
              <w:t>се подпомагат от помощник-оценители, които извършват проверка на място за проекти със заявено СМР, проверка за изкуствено създадени условия и други дейности по оценката, възложени им със заповедта за назначаване на КППП. При проверка на място  за проекти със заявено СМР, кандидатите се уведомяват предварително от КППП за предстоящото посещение. Констатациите от извършеното посещение на място се отразяват в Контролен лист за посещение на място, който се предоставя на КППП.</w:t>
            </w:r>
          </w:p>
          <w:p w14:paraId="7BD73E8B" w14:textId="3AC9845F" w:rsidR="00244CF0" w:rsidRDefault="00697F20" w:rsidP="00244CF0">
            <w:pPr>
              <w:jc w:val="both"/>
              <w:rPr>
                <w:rFonts w:eastAsia="Calibri"/>
                <w:sz w:val="24"/>
                <w:szCs w:val="24"/>
                <w:lang w:eastAsia="en-US"/>
              </w:rPr>
            </w:pPr>
            <w:r w:rsidRPr="0094785F">
              <w:rPr>
                <w:rFonts w:eastAsia="Calibri"/>
                <w:sz w:val="24"/>
                <w:szCs w:val="24"/>
                <w:lang w:eastAsia="en-US"/>
              </w:rPr>
              <w:t>Когато при оценката за административно съответствие и допустимост се установи липса на документи и/или друга нередовност, комисията изпраща на кандидата уведомление за установените нередовности и определя 7-дневен срок за тяхното отстраняване. Уведомлението съдържа и информация, че неотстраняването на нередовностите в срок може да доведе до прекратяване на производството по отношение на кандидата. Отстраняването на нередовностите не може да води до подобряване на качествот</w:t>
            </w:r>
            <w:r w:rsidR="002D0110">
              <w:rPr>
                <w:rFonts w:eastAsia="Calibri"/>
                <w:sz w:val="24"/>
                <w:szCs w:val="24"/>
                <w:lang w:eastAsia="en-US"/>
              </w:rPr>
              <w:t>о на проектното предложение.</w:t>
            </w:r>
          </w:p>
          <w:p w14:paraId="5FE8124B" w14:textId="77777777" w:rsidR="002D0110" w:rsidRDefault="002D0110" w:rsidP="00244CF0">
            <w:pPr>
              <w:jc w:val="both"/>
              <w:rPr>
                <w:rFonts w:eastAsia="Calibri"/>
                <w:sz w:val="24"/>
                <w:szCs w:val="24"/>
                <w:lang w:eastAsia="en-US"/>
              </w:rPr>
            </w:pPr>
          </w:p>
          <w:p w14:paraId="5400D93D" w14:textId="77777777" w:rsidR="004336BB" w:rsidRPr="004336BB" w:rsidRDefault="004336BB" w:rsidP="004336BB">
            <w:pPr>
              <w:jc w:val="both"/>
              <w:rPr>
                <w:rFonts w:eastAsia="Calibri"/>
                <w:b/>
                <w:sz w:val="24"/>
                <w:szCs w:val="24"/>
                <w:lang w:eastAsia="en-US"/>
              </w:rPr>
            </w:pPr>
            <w:r w:rsidRPr="004336BB">
              <w:rPr>
                <w:rFonts w:eastAsia="Calibri"/>
                <w:b/>
                <w:sz w:val="24"/>
                <w:szCs w:val="24"/>
                <w:lang w:eastAsia="en-US"/>
              </w:rPr>
              <w:t>Кореспонденцията с кандидата се извършва през системата ИСУН 2020 чрез профила на кандидата и асоциирания към него електронен адрес на потребителя.</w:t>
            </w:r>
          </w:p>
          <w:p w14:paraId="3471D815" w14:textId="77777777" w:rsidR="004336BB" w:rsidRPr="004336BB" w:rsidRDefault="004336BB" w:rsidP="004336BB">
            <w:pPr>
              <w:jc w:val="both"/>
              <w:rPr>
                <w:rFonts w:eastAsia="Calibri"/>
                <w:sz w:val="24"/>
                <w:szCs w:val="24"/>
                <w:lang w:eastAsia="en-US"/>
              </w:rPr>
            </w:pPr>
          </w:p>
          <w:p w14:paraId="312A4DB3" w14:textId="3EF392AF" w:rsidR="004336BB" w:rsidRDefault="004336BB" w:rsidP="004336BB">
            <w:pPr>
              <w:jc w:val="both"/>
              <w:rPr>
                <w:rFonts w:eastAsia="Calibri"/>
                <w:sz w:val="24"/>
                <w:szCs w:val="24"/>
                <w:lang w:eastAsia="en-US"/>
              </w:rPr>
            </w:pPr>
            <w:r w:rsidRPr="004336BB">
              <w:rPr>
                <w:rFonts w:eastAsia="Calibri"/>
                <w:sz w:val="24"/>
                <w:szCs w:val="24"/>
                <w:lang w:eastAsia="en-US"/>
              </w:rPr>
              <w:t>Неотстраняването на нередовностите в срок може да доведе до прекратяване на производството по отношение на кандидата! Кандидатът няма право да представя на комисията други документи освен липсващите и тези за отстраняване на нередовностите. Отстраняването на нередовностите не може да води до подобряване качеството на проектното предложение.</w:t>
            </w:r>
          </w:p>
          <w:p w14:paraId="75AA9BCB" w14:textId="66E3AC7A" w:rsidR="004336BB" w:rsidRPr="00697F20" w:rsidRDefault="004336BB" w:rsidP="004336BB">
            <w:pPr>
              <w:jc w:val="both"/>
              <w:rPr>
                <w:rFonts w:eastAsia="Calibri"/>
                <w:sz w:val="24"/>
                <w:szCs w:val="24"/>
                <w:lang w:eastAsia="en-US"/>
              </w:rPr>
            </w:pPr>
          </w:p>
          <w:p w14:paraId="76E6D504" w14:textId="77777777" w:rsidR="00E37CBF" w:rsidRPr="00E37CBF" w:rsidRDefault="00E37CBF" w:rsidP="00E37CBF">
            <w:pPr>
              <w:jc w:val="both"/>
              <w:rPr>
                <w:rFonts w:eastAsia="Calibri"/>
                <w:sz w:val="24"/>
                <w:szCs w:val="24"/>
                <w:lang w:eastAsia="en-US"/>
              </w:rPr>
            </w:pPr>
            <w:r w:rsidRPr="00E37CBF">
              <w:rPr>
                <w:rFonts w:eastAsia="Calibri"/>
                <w:sz w:val="24"/>
                <w:szCs w:val="24"/>
                <w:lang w:eastAsia="en-US"/>
              </w:rPr>
              <w:t>Оценителната комисия извършва корекции на бюджета на проектното предложение след получаването на допълнителната информация и в случай на установяване:</w:t>
            </w:r>
          </w:p>
          <w:p w14:paraId="108703E0" w14:textId="77777777" w:rsidR="00E37CBF" w:rsidRPr="00E37CBF" w:rsidRDefault="00E37CBF" w:rsidP="00E37CBF">
            <w:pPr>
              <w:jc w:val="both"/>
              <w:rPr>
                <w:rFonts w:eastAsia="Calibri"/>
                <w:sz w:val="24"/>
                <w:szCs w:val="24"/>
                <w:lang w:eastAsia="en-US"/>
              </w:rPr>
            </w:pPr>
            <w:r w:rsidRPr="00E37CBF">
              <w:rPr>
                <w:rFonts w:eastAsia="Calibri"/>
                <w:sz w:val="24"/>
                <w:szCs w:val="24"/>
                <w:lang w:eastAsia="en-US"/>
              </w:rPr>
              <w:t>а)наличие на недопустими дейности и / или разходи;</w:t>
            </w:r>
          </w:p>
          <w:p w14:paraId="26AC60F3" w14:textId="77777777" w:rsidR="00E37CBF" w:rsidRPr="00E37CBF" w:rsidRDefault="00E37CBF" w:rsidP="00E37CBF">
            <w:pPr>
              <w:jc w:val="both"/>
              <w:rPr>
                <w:rFonts w:eastAsia="Calibri"/>
                <w:sz w:val="24"/>
                <w:szCs w:val="24"/>
                <w:lang w:eastAsia="en-US"/>
              </w:rPr>
            </w:pPr>
            <w:r w:rsidRPr="00E37CBF">
              <w:rPr>
                <w:rFonts w:eastAsia="Calibri"/>
                <w:sz w:val="24"/>
                <w:szCs w:val="24"/>
                <w:lang w:eastAsia="en-US"/>
              </w:rPr>
              <w:t>б)несъответствие между предвидените дейности и видове и видове заложени разходи;</w:t>
            </w:r>
          </w:p>
          <w:p w14:paraId="3E100313" w14:textId="77777777" w:rsidR="00E37CBF" w:rsidRPr="00E37CBF" w:rsidRDefault="00E37CBF" w:rsidP="00E37CBF">
            <w:pPr>
              <w:jc w:val="both"/>
              <w:rPr>
                <w:rFonts w:eastAsia="Calibri"/>
                <w:sz w:val="24"/>
                <w:szCs w:val="24"/>
                <w:lang w:eastAsia="en-US"/>
              </w:rPr>
            </w:pPr>
            <w:r w:rsidRPr="00E37CBF">
              <w:rPr>
                <w:rFonts w:eastAsia="Calibri"/>
                <w:sz w:val="24"/>
                <w:szCs w:val="24"/>
                <w:lang w:eastAsia="en-US"/>
              </w:rPr>
              <w:t xml:space="preserve"> в)дублиране на разходи;</w:t>
            </w:r>
          </w:p>
          <w:p w14:paraId="0752BD9B" w14:textId="77777777" w:rsidR="00E37CBF" w:rsidRPr="00E37CBF" w:rsidRDefault="00E37CBF" w:rsidP="00E37CBF">
            <w:pPr>
              <w:jc w:val="both"/>
              <w:rPr>
                <w:rFonts w:eastAsia="Calibri"/>
                <w:sz w:val="24"/>
                <w:szCs w:val="24"/>
                <w:lang w:eastAsia="en-US"/>
              </w:rPr>
            </w:pPr>
            <w:r w:rsidRPr="00E37CBF">
              <w:rPr>
                <w:rFonts w:eastAsia="Calibri"/>
                <w:sz w:val="24"/>
                <w:szCs w:val="24"/>
                <w:lang w:eastAsia="en-US"/>
              </w:rPr>
              <w:lastRenderedPageBreak/>
              <w:t>г)неспазване на заложените правила или ограничения по отношение на заложени процентни съотношения/праговете на разходите;</w:t>
            </w:r>
          </w:p>
          <w:p w14:paraId="0C40A4A6" w14:textId="77777777" w:rsidR="00E37CBF" w:rsidRPr="00E37CBF" w:rsidRDefault="00E37CBF" w:rsidP="00E37CBF">
            <w:pPr>
              <w:jc w:val="both"/>
              <w:rPr>
                <w:rFonts w:eastAsia="Calibri"/>
                <w:sz w:val="24"/>
                <w:szCs w:val="24"/>
                <w:lang w:eastAsia="en-US"/>
              </w:rPr>
            </w:pPr>
            <w:r w:rsidRPr="00E37CBF">
              <w:rPr>
                <w:rFonts w:eastAsia="Calibri"/>
                <w:sz w:val="24"/>
                <w:szCs w:val="24"/>
                <w:lang w:eastAsia="en-US"/>
              </w:rPr>
              <w:t>д)несъответствие с правилата за държавните или минимални те помощи;</w:t>
            </w:r>
          </w:p>
          <w:p w14:paraId="037F7652" w14:textId="77777777" w:rsidR="00405266" w:rsidRDefault="00405266" w:rsidP="00E37CBF">
            <w:pPr>
              <w:jc w:val="both"/>
              <w:rPr>
                <w:rFonts w:eastAsia="Calibri"/>
                <w:sz w:val="24"/>
                <w:szCs w:val="24"/>
                <w:lang w:eastAsia="en-US"/>
              </w:rPr>
            </w:pPr>
          </w:p>
          <w:p w14:paraId="26F936C5" w14:textId="62697A23" w:rsidR="00E37CBF" w:rsidRPr="00E37CBF" w:rsidRDefault="00E37CBF" w:rsidP="00E37CBF">
            <w:pPr>
              <w:jc w:val="both"/>
              <w:rPr>
                <w:rFonts w:eastAsia="Calibri"/>
                <w:sz w:val="24"/>
                <w:szCs w:val="24"/>
                <w:lang w:eastAsia="en-US"/>
              </w:rPr>
            </w:pPr>
            <w:r w:rsidRPr="00E37CBF">
              <w:rPr>
                <w:rFonts w:eastAsia="Calibri"/>
                <w:sz w:val="24"/>
                <w:szCs w:val="24"/>
                <w:lang w:eastAsia="en-US"/>
              </w:rPr>
              <w:t xml:space="preserve">Корекциите на бюджета  на проектното предложение не водят до: </w:t>
            </w:r>
          </w:p>
          <w:p w14:paraId="41B6DB77" w14:textId="77777777" w:rsidR="00E37CBF" w:rsidRPr="00E37CBF" w:rsidRDefault="00E37CBF" w:rsidP="00E37CBF">
            <w:pPr>
              <w:jc w:val="both"/>
              <w:rPr>
                <w:rFonts w:eastAsia="Calibri"/>
                <w:sz w:val="24"/>
                <w:szCs w:val="24"/>
                <w:lang w:eastAsia="en-US"/>
              </w:rPr>
            </w:pPr>
            <w:r w:rsidRPr="00E37CBF">
              <w:rPr>
                <w:rFonts w:eastAsia="Calibri"/>
                <w:sz w:val="24"/>
                <w:szCs w:val="24"/>
                <w:lang w:eastAsia="en-US"/>
              </w:rPr>
              <w:t xml:space="preserve"> а) увеличаване на размера или на интензитета на безвъзмездната финансова помощ, предвидени в подаденото проектно предложение; </w:t>
            </w:r>
          </w:p>
          <w:p w14:paraId="1F0E2B0A" w14:textId="77777777" w:rsidR="00E37CBF" w:rsidRPr="00E37CBF" w:rsidRDefault="00E37CBF" w:rsidP="00E37CBF">
            <w:pPr>
              <w:jc w:val="both"/>
              <w:rPr>
                <w:rFonts w:eastAsia="Calibri"/>
                <w:sz w:val="24"/>
                <w:szCs w:val="24"/>
                <w:lang w:eastAsia="en-US"/>
              </w:rPr>
            </w:pPr>
            <w:r w:rsidRPr="00E37CBF">
              <w:rPr>
                <w:rFonts w:eastAsia="Calibri"/>
                <w:sz w:val="24"/>
                <w:szCs w:val="24"/>
                <w:lang w:eastAsia="en-US"/>
              </w:rPr>
              <w:t xml:space="preserve"> б. невъзможност за изпълнение на целите на проекта или на проектните дейности; </w:t>
            </w:r>
          </w:p>
          <w:p w14:paraId="4AC56A8E" w14:textId="7D95EB0E" w:rsidR="00244CF0" w:rsidRPr="00697F20" w:rsidRDefault="00E37CBF" w:rsidP="00E37CBF">
            <w:pPr>
              <w:jc w:val="both"/>
              <w:rPr>
                <w:rFonts w:eastAsia="Calibri"/>
                <w:sz w:val="24"/>
                <w:szCs w:val="24"/>
                <w:lang w:eastAsia="en-US"/>
              </w:rPr>
            </w:pPr>
            <w:r w:rsidRPr="00E37CBF">
              <w:rPr>
                <w:rFonts w:eastAsia="Calibri"/>
                <w:sz w:val="24"/>
                <w:szCs w:val="24"/>
                <w:lang w:eastAsia="en-US"/>
              </w:rPr>
              <w:t xml:space="preserve"> в) подобряване на качеството на проектното предложение и нарушаване на принципите по чл. 29, ал. 1, т. 1 и 2 ЗУСЕСИФ.</w:t>
            </w:r>
          </w:p>
        </w:tc>
      </w:tr>
    </w:tbl>
    <w:p w14:paraId="05407D52" w14:textId="77777777" w:rsidR="00244CF0" w:rsidRPr="00244CF0" w:rsidRDefault="00244CF0" w:rsidP="00244CF0">
      <w:bookmarkStart w:id="67" w:name="_Toc445385611"/>
    </w:p>
    <w:p w14:paraId="787C1679" w14:textId="1C2A3437" w:rsidR="008D599C" w:rsidRPr="003B0E91" w:rsidRDefault="008D599C" w:rsidP="00D137FE">
      <w:pPr>
        <w:pStyle w:val="Heading2"/>
      </w:pPr>
      <w:bookmarkStart w:id="68" w:name="_Toc505614664"/>
      <w:bookmarkStart w:id="69" w:name="_Toc534292226"/>
      <w:r w:rsidRPr="003B0E91">
        <w:t>21.2 Техническа и финансова оценка:</w:t>
      </w:r>
      <w:bookmarkEnd w:id="68"/>
      <w:bookmarkEnd w:id="69"/>
    </w:p>
    <w:tbl>
      <w:tblPr>
        <w:tblStyle w:val="TableGrid"/>
        <w:tblW w:w="0" w:type="auto"/>
        <w:tblInd w:w="-147" w:type="dxa"/>
        <w:tblLook w:val="04A0" w:firstRow="1" w:lastRow="0" w:firstColumn="1" w:lastColumn="0" w:noHBand="0" w:noVBand="1"/>
      </w:tblPr>
      <w:tblGrid>
        <w:gridCol w:w="9359"/>
      </w:tblGrid>
      <w:tr w:rsidR="003B0E91" w:rsidRPr="00582D94" w14:paraId="795D6A57" w14:textId="77777777" w:rsidTr="00FD4D39">
        <w:tc>
          <w:tcPr>
            <w:tcW w:w="9359" w:type="dxa"/>
          </w:tcPr>
          <w:p w14:paraId="1507FAF8" w14:textId="77777777" w:rsidR="00E46A12" w:rsidRDefault="00E46A12" w:rsidP="00E46A12">
            <w:pPr>
              <w:jc w:val="both"/>
              <w:rPr>
                <w:sz w:val="24"/>
                <w:szCs w:val="24"/>
              </w:rPr>
            </w:pPr>
            <w:r w:rsidRPr="00E46A12">
              <w:rPr>
                <w:sz w:val="24"/>
                <w:szCs w:val="24"/>
              </w:rPr>
              <w:t>Техническата и финансова оценка на всяко проектно предложение е оценка по същество на проектните предложения, която се извършва от двама членове на комисията. При необходимост те се подпомагат от помощник-оценители. Окончателната оценка е средноаритметично от оценките на двамата оценители. При разлика между двете оценки от повече от 20 на сто от максималната възможна оценка председателят на комисията възлага оценяването  на трето лице – член на комисията с право на глас. Окончателната оценка е средноаритметично от оценката на третото лице и по-близката до неговата от първите две оценки. Окончателната оценка се оформя от оценката на третия оценител само в случаите, когато тя е средноаритметично от оценките на другите двама.</w:t>
            </w:r>
          </w:p>
          <w:p w14:paraId="7884438E" w14:textId="77777777" w:rsidR="006773AD" w:rsidRPr="00E46A12" w:rsidRDefault="006773AD" w:rsidP="00E46A12">
            <w:pPr>
              <w:jc w:val="both"/>
              <w:rPr>
                <w:sz w:val="24"/>
                <w:szCs w:val="24"/>
              </w:rPr>
            </w:pPr>
          </w:p>
          <w:p w14:paraId="6E33BF74" w14:textId="77777777" w:rsidR="00E46A12" w:rsidRDefault="00E46A12" w:rsidP="00E46A12">
            <w:pPr>
              <w:jc w:val="both"/>
              <w:rPr>
                <w:sz w:val="24"/>
                <w:szCs w:val="24"/>
              </w:rPr>
            </w:pPr>
            <w:r w:rsidRPr="00E46A12">
              <w:rPr>
                <w:sz w:val="24"/>
                <w:szCs w:val="24"/>
              </w:rPr>
              <w:t>Когато проектното предложение е оценено от двама членове на комисията и едната оценка е по-ниска от минимално допустимата оценка за качество по процедурата, а другата оценка – по- голяма или равна на нея, председателят на комисията възлага оценяването на трето лице – член на комисията с право на глас. Окончателната оценка е средноаритметично от оценката на третото лице и сходната с неговата по отношение на праговете от първите две оценки.</w:t>
            </w:r>
          </w:p>
          <w:p w14:paraId="0520876A" w14:textId="77777777" w:rsidR="006773AD" w:rsidRPr="00E46A12" w:rsidRDefault="006773AD" w:rsidP="00E46A12">
            <w:pPr>
              <w:jc w:val="both"/>
              <w:rPr>
                <w:sz w:val="24"/>
                <w:szCs w:val="24"/>
              </w:rPr>
            </w:pPr>
          </w:p>
          <w:p w14:paraId="5244AA4B" w14:textId="77777777" w:rsidR="00E46A12" w:rsidRPr="00E46A12" w:rsidRDefault="00E46A12" w:rsidP="00E46A12">
            <w:pPr>
              <w:jc w:val="both"/>
              <w:rPr>
                <w:sz w:val="24"/>
                <w:szCs w:val="24"/>
              </w:rPr>
            </w:pPr>
            <w:r w:rsidRPr="00E46A12">
              <w:rPr>
                <w:sz w:val="24"/>
                <w:szCs w:val="24"/>
              </w:rPr>
              <w:t>При оценката на проектните предложения комисията може да изисква допълнителна пояснителна информация от кандидата като определя 7-дневен срок за предоставянето ѝ. Тази възможност не може да води до подобряване качеството на проектното предложение и до нарушаване на принципите по чл. 29, ал.1, т. 1 и 2 от ЗУСЕСИФ.</w:t>
            </w:r>
          </w:p>
          <w:p w14:paraId="2F45E17A" w14:textId="77777777" w:rsidR="00E46A12" w:rsidRPr="00E46A12" w:rsidRDefault="00E46A12" w:rsidP="00E46A12">
            <w:pPr>
              <w:jc w:val="both"/>
              <w:rPr>
                <w:sz w:val="24"/>
                <w:szCs w:val="24"/>
              </w:rPr>
            </w:pPr>
          </w:p>
          <w:p w14:paraId="26E7E42E" w14:textId="77777777" w:rsidR="00E46A12" w:rsidRPr="00E46A12" w:rsidRDefault="00E46A12" w:rsidP="00E46A12">
            <w:pPr>
              <w:jc w:val="both"/>
              <w:rPr>
                <w:sz w:val="24"/>
                <w:szCs w:val="24"/>
              </w:rPr>
            </w:pPr>
            <w:r w:rsidRPr="00E46A12">
              <w:rPr>
                <w:sz w:val="24"/>
                <w:szCs w:val="24"/>
              </w:rPr>
              <w:t>*Забележка:</w:t>
            </w:r>
          </w:p>
          <w:p w14:paraId="292990E7" w14:textId="77777777" w:rsidR="00E46A12" w:rsidRDefault="00E46A12" w:rsidP="00E46A12">
            <w:pPr>
              <w:jc w:val="both"/>
              <w:rPr>
                <w:sz w:val="24"/>
                <w:szCs w:val="24"/>
              </w:rPr>
            </w:pPr>
            <w:r w:rsidRPr="00E46A12">
              <w:rPr>
                <w:sz w:val="24"/>
                <w:szCs w:val="24"/>
              </w:rPr>
              <w:t>В случай, че в отделните етапи на оценка комисията за подбор на проектни предложения изисква допълнителна пояснителна информация от кандидата, кореспонденцията с кандидата ще се извършва през системата ИСУН 2020 чрез профила на кандидата и асоциирания към него електронен адрес на потребителя.</w:t>
            </w:r>
          </w:p>
          <w:p w14:paraId="4BF7A57B" w14:textId="77777777" w:rsidR="006773AD" w:rsidRPr="00E46A12" w:rsidRDefault="006773AD" w:rsidP="00E46A12">
            <w:pPr>
              <w:jc w:val="both"/>
              <w:rPr>
                <w:sz w:val="24"/>
                <w:szCs w:val="24"/>
              </w:rPr>
            </w:pPr>
          </w:p>
          <w:p w14:paraId="3AA8BFBE" w14:textId="77777777" w:rsidR="00E46A12" w:rsidRDefault="00E46A12" w:rsidP="00E46A12">
            <w:pPr>
              <w:jc w:val="both"/>
              <w:rPr>
                <w:sz w:val="24"/>
                <w:szCs w:val="24"/>
              </w:rPr>
            </w:pPr>
            <w:r w:rsidRPr="00E46A12">
              <w:rPr>
                <w:sz w:val="24"/>
                <w:szCs w:val="24"/>
              </w:rPr>
              <w:t xml:space="preserve">Техническият процес свързан с представянето на допълнителна информация/документи е описан в Ръководството за потребителя за модул “Е-кандидатстване” в ИСУН 2020 от 14 май 2016 г. </w:t>
            </w:r>
          </w:p>
          <w:p w14:paraId="76942D75" w14:textId="77777777" w:rsidR="006773AD" w:rsidRPr="00E46A12" w:rsidRDefault="006773AD" w:rsidP="00E46A12">
            <w:pPr>
              <w:jc w:val="both"/>
              <w:rPr>
                <w:sz w:val="24"/>
                <w:szCs w:val="24"/>
              </w:rPr>
            </w:pPr>
          </w:p>
          <w:p w14:paraId="76D09CFC" w14:textId="77777777" w:rsidR="00E46A12" w:rsidRPr="00E46A12" w:rsidRDefault="00E46A12" w:rsidP="00E46A12">
            <w:pPr>
              <w:jc w:val="both"/>
              <w:rPr>
                <w:sz w:val="24"/>
                <w:szCs w:val="24"/>
              </w:rPr>
            </w:pPr>
            <w:r w:rsidRPr="00E46A12">
              <w:rPr>
                <w:sz w:val="24"/>
                <w:szCs w:val="24"/>
              </w:rPr>
              <w:t>На следния уеб адрес е наличен видеоклип, онагледяващ процеса на отговор на въпрос от оценителната комисия:</w:t>
            </w:r>
          </w:p>
          <w:p w14:paraId="3C235BE5" w14:textId="1B95DF81" w:rsidR="00E46A12" w:rsidRDefault="00386BB0" w:rsidP="00E46A12">
            <w:pPr>
              <w:jc w:val="both"/>
              <w:rPr>
                <w:sz w:val="24"/>
                <w:szCs w:val="24"/>
              </w:rPr>
            </w:pPr>
            <w:hyperlink r:id="rId23" w:history="1">
              <w:r w:rsidR="006773AD" w:rsidRPr="005E1279">
                <w:rPr>
                  <w:rStyle w:val="Hyperlink"/>
                  <w:sz w:val="24"/>
                  <w:szCs w:val="24"/>
                </w:rPr>
                <w:t>https://www.youtube.com/watch?v=x6T0AavwC68</w:t>
              </w:r>
            </w:hyperlink>
          </w:p>
          <w:p w14:paraId="2DA0D02D" w14:textId="77777777" w:rsidR="006773AD" w:rsidRPr="00E46A12" w:rsidRDefault="006773AD" w:rsidP="00E46A12">
            <w:pPr>
              <w:jc w:val="both"/>
              <w:rPr>
                <w:sz w:val="24"/>
                <w:szCs w:val="24"/>
              </w:rPr>
            </w:pPr>
          </w:p>
          <w:p w14:paraId="33892CD8" w14:textId="77777777" w:rsidR="00E46A12" w:rsidRPr="00E46A12" w:rsidRDefault="00E46A12" w:rsidP="00E46A12">
            <w:pPr>
              <w:jc w:val="both"/>
              <w:rPr>
                <w:sz w:val="24"/>
                <w:szCs w:val="24"/>
              </w:rPr>
            </w:pPr>
            <w:r w:rsidRPr="00E46A12">
              <w:rPr>
                <w:sz w:val="24"/>
                <w:szCs w:val="24"/>
              </w:rPr>
              <w:t>Кандидатът няма право да представя на комисията други документи освен липсващите и тези за отстраняване на нередовностите.</w:t>
            </w:r>
          </w:p>
          <w:p w14:paraId="308A2D57" w14:textId="77777777" w:rsidR="00E46A12" w:rsidRPr="00E46A12" w:rsidRDefault="00E46A12" w:rsidP="00E46A12">
            <w:pPr>
              <w:jc w:val="both"/>
              <w:rPr>
                <w:sz w:val="24"/>
                <w:szCs w:val="24"/>
              </w:rPr>
            </w:pPr>
          </w:p>
          <w:p w14:paraId="3FFA3866" w14:textId="77777777" w:rsidR="00E46A12" w:rsidRDefault="00E46A12" w:rsidP="00E46A12">
            <w:pPr>
              <w:jc w:val="both"/>
              <w:rPr>
                <w:sz w:val="24"/>
                <w:szCs w:val="24"/>
              </w:rPr>
            </w:pPr>
            <w:r w:rsidRPr="00E46A12">
              <w:rPr>
                <w:sz w:val="24"/>
                <w:szCs w:val="24"/>
              </w:rPr>
              <w:t>Работата на Комисията за подбор на проектни предложения приключва с оценителен доклад, който се генерира в ИСУН. Оценителният доклад се подписва от председателя, секретаря и от всички членове на комисията.</w:t>
            </w:r>
          </w:p>
          <w:p w14:paraId="1780F742" w14:textId="77777777" w:rsidR="0020131E" w:rsidRPr="00E46A12" w:rsidRDefault="0020131E" w:rsidP="00E46A12">
            <w:pPr>
              <w:jc w:val="both"/>
              <w:rPr>
                <w:sz w:val="24"/>
                <w:szCs w:val="24"/>
              </w:rPr>
            </w:pPr>
          </w:p>
          <w:p w14:paraId="7D527A11" w14:textId="77777777" w:rsidR="00E46A12" w:rsidRDefault="00E46A12" w:rsidP="00E46A12">
            <w:pPr>
              <w:jc w:val="both"/>
              <w:rPr>
                <w:sz w:val="24"/>
                <w:szCs w:val="24"/>
              </w:rPr>
            </w:pPr>
            <w:r w:rsidRPr="00E46A12">
              <w:rPr>
                <w:sz w:val="24"/>
                <w:szCs w:val="24"/>
              </w:rPr>
              <w:t>Оценителният доклад и възраженията по него  са уредени в чл.44, ал.3-6 и чл. 45 на ПМС № 161 от 2016 г.</w:t>
            </w:r>
          </w:p>
          <w:p w14:paraId="499A6662" w14:textId="77777777" w:rsidR="0020131E" w:rsidRPr="00E46A12" w:rsidRDefault="0020131E" w:rsidP="00E46A12">
            <w:pPr>
              <w:jc w:val="both"/>
              <w:rPr>
                <w:sz w:val="24"/>
                <w:szCs w:val="24"/>
              </w:rPr>
            </w:pPr>
          </w:p>
          <w:p w14:paraId="6021D649" w14:textId="77777777" w:rsidR="00E46A12" w:rsidRDefault="00E46A12" w:rsidP="00E46A12">
            <w:pPr>
              <w:jc w:val="both"/>
              <w:rPr>
                <w:sz w:val="24"/>
                <w:szCs w:val="24"/>
              </w:rPr>
            </w:pPr>
            <w:r w:rsidRPr="00E46A12">
              <w:rPr>
                <w:sz w:val="24"/>
                <w:szCs w:val="24"/>
              </w:rPr>
              <w:t>Оценителният доклад се одобрява от УС на МИГ в срок до 5 работни от приключване работата на комисията.</w:t>
            </w:r>
          </w:p>
          <w:p w14:paraId="43569B69" w14:textId="77777777" w:rsidR="0020131E" w:rsidRPr="00E46A12" w:rsidRDefault="0020131E" w:rsidP="00E46A12">
            <w:pPr>
              <w:jc w:val="both"/>
              <w:rPr>
                <w:sz w:val="24"/>
                <w:szCs w:val="24"/>
              </w:rPr>
            </w:pPr>
          </w:p>
          <w:p w14:paraId="0D268EF5" w14:textId="77777777" w:rsidR="00E46A12" w:rsidRDefault="00E46A12" w:rsidP="00E46A12">
            <w:pPr>
              <w:jc w:val="both"/>
              <w:rPr>
                <w:sz w:val="24"/>
                <w:szCs w:val="24"/>
              </w:rPr>
            </w:pPr>
            <w:r w:rsidRPr="00E46A12">
              <w:rPr>
                <w:sz w:val="24"/>
                <w:szCs w:val="24"/>
              </w:rPr>
              <w:t>В срок до 5 работни дни от одобряване на оценителния доклад от УС, МИГ прикачва   в ИСУН 2020 всички документи, свързани с процеса на оценка (вкл. и доклада) и уведомява ДФЗ за това.</w:t>
            </w:r>
          </w:p>
          <w:p w14:paraId="6C94F4DE" w14:textId="77777777" w:rsidR="0020131E" w:rsidRPr="00E46A12" w:rsidRDefault="0020131E" w:rsidP="00E46A12">
            <w:pPr>
              <w:jc w:val="both"/>
              <w:rPr>
                <w:sz w:val="24"/>
                <w:szCs w:val="24"/>
              </w:rPr>
            </w:pPr>
          </w:p>
          <w:p w14:paraId="2B19018E" w14:textId="1B46F7B7" w:rsidR="003B0E91" w:rsidRPr="0015239E" w:rsidRDefault="00E46A12" w:rsidP="00E46A12">
            <w:pPr>
              <w:jc w:val="both"/>
            </w:pPr>
            <w:r w:rsidRPr="00E46A12">
              <w:rPr>
                <w:sz w:val="24"/>
                <w:szCs w:val="24"/>
              </w:rPr>
              <w:t>МИГ уведомява кандидатите, чиито проектни предложения не са одобрени или са частично одобрени (където е приложимо) в срок до 5 работни дни от одобряване на оценителния доклад от УС на МИГ.</w:t>
            </w:r>
          </w:p>
        </w:tc>
      </w:tr>
    </w:tbl>
    <w:p w14:paraId="0F71283E" w14:textId="77777777" w:rsidR="00212DA1" w:rsidRPr="00212DA1" w:rsidRDefault="00212DA1" w:rsidP="00212DA1">
      <w:pPr>
        <w:rPr>
          <w:lang w:val="en-US"/>
        </w:rPr>
      </w:pPr>
    </w:p>
    <w:p w14:paraId="14B4EB41" w14:textId="16AB0B52" w:rsidR="002C08E5" w:rsidRPr="007713C1" w:rsidRDefault="00237BC8" w:rsidP="007570DC">
      <w:pPr>
        <w:pStyle w:val="Heading1"/>
      </w:pPr>
      <w:bookmarkStart w:id="70" w:name="_Toc534292227"/>
      <w:r>
        <w:t>2</w:t>
      </w:r>
      <w:r w:rsidR="00BE42E8">
        <w:t>2</w:t>
      </w:r>
      <w:r w:rsidR="00CD1494" w:rsidRPr="007713C1">
        <w:t>. Критерии и методика за оценка на проектните предложения:</w:t>
      </w:r>
      <w:bookmarkEnd w:id="67"/>
      <w:bookmarkEnd w:id="70"/>
    </w:p>
    <w:tbl>
      <w:tblPr>
        <w:tblStyle w:val="TableGrid"/>
        <w:tblW w:w="9493" w:type="dxa"/>
        <w:tblInd w:w="-147" w:type="dxa"/>
        <w:tblLook w:val="04A0" w:firstRow="1" w:lastRow="0" w:firstColumn="1" w:lastColumn="0" w:noHBand="0" w:noVBand="1"/>
      </w:tblPr>
      <w:tblGrid>
        <w:gridCol w:w="9493"/>
      </w:tblGrid>
      <w:tr w:rsidR="009C42B5" w:rsidRPr="007713C1" w14:paraId="6F1E810F" w14:textId="77777777" w:rsidTr="002C5DDA">
        <w:trPr>
          <w:trHeight w:val="732"/>
        </w:trPr>
        <w:tc>
          <w:tcPr>
            <w:tcW w:w="9493" w:type="dxa"/>
          </w:tcPr>
          <w:p w14:paraId="00AEFC22" w14:textId="58A26AF6" w:rsidR="00FD3EC6" w:rsidRPr="00FD3EC6" w:rsidRDefault="00FD3EC6" w:rsidP="00FD3EC6">
            <w:pPr>
              <w:jc w:val="both"/>
              <w:rPr>
                <w:b/>
                <w:sz w:val="24"/>
                <w:szCs w:val="24"/>
              </w:rPr>
            </w:pPr>
            <w:r w:rsidRPr="00FD3EC6">
              <w:rPr>
                <w:b/>
                <w:sz w:val="24"/>
                <w:szCs w:val="24"/>
              </w:rPr>
              <w:t>ВАЖНО: Максималният брой точки, който може да получи едно проектно предложение е 100 точки.</w:t>
            </w:r>
          </w:p>
          <w:p w14:paraId="540B5C9F" w14:textId="77777777" w:rsidR="00FD3EC6" w:rsidRPr="00FD3EC6" w:rsidRDefault="00FD3EC6" w:rsidP="00FD3EC6">
            <w:pPr>
              <w:jc w:val="both"/>
              <w:rPr>
                <w:b/>
                <w:sz w:val="24"/>
                <w:szCs w:val="24"/>
              </w:rPr>
            </w:pPr>
          </w:p>
          <w:p w14:paraId="52ED2969" w14:textId="331A4FDE" w:rsidR="00FD3EC6" w:rsidRPr="00FD3EC6" w:rsidRDefault="00FD3EC6" w:rsidP="00FD3EC6">
            <w:pPr>
              <w:jc w:val="both"/>
              <w:rPr>
                <w:b/>
                <w:sz w:val="24"/>
                <w:szCs w:val="24"/>
              </w:rPr>
            </w:pPr>
            <w:r w:rsidRPr="00FD3EC6">
              <w:rPr>
                <w:b/>
                <w:sz w:val="24"/>
                <w:szCs w:val="24"/>
              </w:rPr>
              <w:t>За да бъде предложено за финансиране едно проектно предложение, общата крайна оценка на етап техническа и финансова оценка тря</w:t>
            </w:r>
            <w:r w:rsidR="006A7F23">
              <w:rPr>
                <w:b/>
                <w:sz w:val="24"/>
                <w:szCs w:val="24"/>
              </w:rPr>
              <w:t>б</w:t>
            </w:r>
            <w:r w:rsidR="00A32428">
              <w:rPr>
                <w:b/>
                <w:sz w:val="24"/>
                <w:szCs w:val="24"/>
              </w:rPr>
              <w:t>ва да е равна или по-голяма от 3</w:t>
            </w:r>
            <w:r w:rsidRPr="00786772">
              <w:rPr>
                <w:b/>
                <w:sz w:val="24"/>
                <w:szCs w:val="24"/>
              </w:rPr>
              <w:t>0 т.</w:t>
            </w:r>
          </w:p>
          <w:p w14:paraId="6F5A8ACA" w14:textId="7DFB448F" w:rsidR="00FD3EC6" w:rsidRPr="00FD3EC6" w:rsidRDefault="00FD3EC6" w:rsidP="00FD3EC6">
            <w:pPr>
              <w:rPr>
                <w:b/>
                <w:sz w:val="24"/>
                <w:szCs w:val="24"/>
              </w:rPr>
            </w:pPr>
          </w:p>
          <w:p w14:paraId="7BB1C9F1" w14:textId="182F437B" w:rsidR="00FC20F0" w:rsidRDefault="00FC20F0" w:rsidP="00FC20F0">
            <w:pPr>
              <w:spacing w:before="120" w:after="120"/>
              <w:jc w:val="both"/>
              <w:rPr>
                <w:bCs/>
                <w:noProof/>
                <w:snapToGrid w:val="0"/>
                <w:sz w:val="24"/>
                <w:szCs w:val="24"/>
              </w:rPr>
            </w:pPr>
            <w:r w:rsidRPr="00FC20F0">
              <w:rPr>
                <w:bCs/>
                <w:noProof/>
                <w:snapToGrid w:val="0"/>
                <w:sz w:val="24"/>
                <w:szCs w:val="24"/>
              </w:rPr>
              <w:lastRenderedPageBreak/>
              <w:t>Подадените проекти ще се подреждат според</w:t>
            </w:r>
            <w:r w:rsidR="0016135A">
              <w:rPr>
                <w:bCs/>
                <w:noProof/>
                <w:snapToGrid w:val="0"/>
                <w:sz w:val="24"/>
                <w:szCs w:val="24"/>
              </w:rPr>
              <w:t xml:space="preserve"> съответствието им със следните </w:t>
            </w:r>
            <w:r w:rsidRPr="00FC20F0">
              <w:rPr>
                <w:bCs/>
                <w:noProof/>
                <w:snapToGrid w:val="0"/>
                <w:sz w:val="24"/>
                <w:szCs w:val="24"/>
              </w:rPr>
              <w:t>критерии за оценка:</w:t>
            </w:r>
          </w:p>
          <w:tbl>
            <w:tblPr>
              <w:tblW w:w="10202" w:type="dxa"/>
              <w:tblCellMar>
                <w:left w:w="70" w:type="dxa"/>
                <w:right w:w="70" w:type="dxa"/>
              </w:tblCellMar>
              <w:tblLook w:val="04A0" w:firstRow="1" w:lastRow="0" w:firstColumn="1" w:lastColumn="0" w:noHBand="0" w:noVBand="1"/>
            </w:tblPr>
            <w:tblGrid>
              <w:gridCol w:w="704"/>
              <w:gridCol w:w="4962"/>
              <w:gridCol w:w="4536"/>
            </w:tblGrid>
            <w:tr w:rsidR="00B63893" w:rsidRPr="00B64E3C" w14:paraId="02EF3490" w14:textId="77777777" w:rsidTr="00BE659F">
              <w:trPr>
                <w:trHeight w:val="945"/>
              </w:trPr>
              <w:tc>
                <w:tcPr>
                  <w:tcW w:w="704" w:type="dxa"/>
                  <w:tcBorders>
                    <w:top w:val="single" w:sz="4" w:space="0" w:color="auto"/>
                    <w:left w:val="single" w:sz="4" w:space="0" w:color="auto"/>
                    <w:bottom w:val="single" w:sz="6" w:space="0" w:color="auto"/>
                    <w:right w:val="single" w:sz="4" w:space="0" w:color="auto"/>
                  </w:tcBorders>
                  <w:shd w:val="clear" w:color="000000" w:fill="D9D9D9"/>
                  <w:noWrap/>
                  <w:vAlign w:val="center"/>
                  <w:hideMark/>
                </w:tcPr>
                <w:p w14:paraId="7F2ABC91" w14:textId="77777777" w:rsidR="00B63893" w:rsidRPr="00B64E3C" w:rsidRDefault="00B63893" w:rsidP="00B63893">
                  <w:pPr>
                    <w:spacing w:after="0" w:line="240" w:lineRule="auto"/>
                    <w:jc w:val="center"/>
                    <w:rPr>
                      <w:rFonts w:ascii="Times New Roman" w:eastAsia="Times New Roman" w:hAnsi="Times New Roman" w:cs="Times New Roman"/>
                      <w:b/>
                      <w:bCs/>
                      <w:color w:val="000000"/>
                      <w:sz w:val="24"/>
                      <w:szCs w:val="24"/>
                      <w:lang w:eastAsia="bg-BG"/>
                    </w:rPr>
                  </w:pPr>
                  <w:r w:rsidRPr="00B64E3C">
                    <w:rPr>
                      <w:rFonts w:ascii="Times New Roman" w:eastAsia="Times New Roman" w:hAnsi="Times New Roman" w:cs="Times New Roman"/>
                      <w:b/>
                      <w:bCs/>
                      <w:color w:val="000000"/>
                      <w:sz w:val="24"/>
                      <w:szCs w:val="24"/>
                      <w:lang w:eastAsia="bg-BG"/>
                    </w:rPr>
                    <w:t>№</w:t>
                  </w:r>
                </w:p>
              </w:tc>
              <w:tc>
                <w:tcPr>
                  <w:tcW w:w="4962" w:type="dxa"/>
                  <w:tcBorders>
                    <w:top w:val="single" w:sz="4" w:space="0" w:color="auto"/>
                    <w:left w:val="nil"/>
                    <w:bottom w:val="single" w:sz="4" w:space="0" w:color="auto"/>
                    <w:right w:val="single" w:sz="4" w:space="0" w:color="auto"/>
                  </w:tcBorders>
                  <w:shd w:val="clear" w:color="000000" w:fill="D9D9D9"/>
                  <w:vAlign w:val="center"/>
                  <w:hideMark/>
                </w:tcPr>
                <w:p w14:paraId="259115F1" w14:textId="77777777" w:rsidR="00B63893" w:rsidRPr="00B64E3C" w:rsidRDefault="00B63893" w:rsidP="00B63893">
                  <w:pPr>
                    <w:spacing w:after="0" w:line="240" w:lineRule="auto"/>
                    <w:jc w:val="center"/>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eastAsia="bg-BG"/>
                    </w:rPr>
                    <w:t>Критерии за оценка</w:t>
                  </w:r>
                  <w:r w:rsidRPr="00B64E3C">
                    <w:rPr>
                      <w:rFonts w:ascii="Times New Roman" w:eastAsia="Times New Roman" w:hAnsi="Times New Roman" w:cs="Times New Roman"/>
                      <w:b/>
                      <w:bCs/>
                      <w:color w:val="000000"/>
                      <w:sz w:val="24"/>
                      <w:szCs w:val="24"/>
                      <w:lang w:eastAsia="bg-BG"/>
                    </w:rPr>
                    <w:t> </w:t>
                  </w:r>
                </w:p>
              </w:tc>
              <w:tc>
                <w:tcPr>
                  <w:tcW w:w="4536" w:type="dxa"/>
                  <w:tcBorders>
                    <w:top w:val="single" w:sz="4" w:space="0" w:color="auto"/>
                    <w:left w:val="nil"/>
                    <w:bottom w:val="single" w:sz="4" w:space="0" w:color="auto"/>
                    <w:right w:val="single" w:sz="4" w:space="0" w:color="auto"/>
                  </w:tcBorders>
                  <w:shd w:val="clear" w:color="000000" w:fill="D9D9D9"/>
                  <w:vAlign w:val="center"/>
                  <w:hideMark/>
                </w:tcPr>
                <w:p w14:paraId="4A037D6A" w14:textId="6D1674BF" w:rsidR="00B63893" w:rsidRPr="00B64E3C" w:rsidRDefault="004659EF" w:rsidP="004659EF">
                  <w:pPr>
                    <w:spacing w:after="0" w:line="240" w:lineRule="auto"/>
                    <w:rPr>
                      <w:rFonts w:ascii="Times New Roman" w:eastAsia="Times New Roman" w:hAnsi="Times New Roman" w:cs="Times New Roman"/>
                      <w:b/>
                      <w:bCs/>
                      <w:color w:val="000000"/>
                      <w:sz w:val="24"/>
                      <w:szCs w:val="24"/>
                      <w:lang w:eastAsia="bg-BG"/>
                    </w:rPr>
                  </w:pPr>
                  <w:r>
                    <w:rPr>
                      <w:rFonts w:ascii="Times New Roman" w:eastAsia="Times New Roman" w:hAnsi="Times New Roman" w:cs="Times New Roman"/>
                      <w:b/>
                      <w:bCs/>
                      <w:color w:val="000000"/>
                      <w:sz w:val="24"/>
                      <w:szCs w:val="24"/>
                      <w:lang w:val="en-US" w:eastAsia="bg-BG"/>
                    </w:rPr>
                    <w:t xml:space="preserve">     </w:t>
                  </w:r>
                  <w:r w:rsidR="00D25486">
                    <w:rPr>
                      <w:rFonts w:ascii="Times New Roman" w:eastAsia="Times New Roman" w:hAnsi="Times New Roman" w:cs="Times New Roman"/>
                      <w:b/>
                      <w:bCs/>
                      <w:color w:val="000000"/>
                      <w:sz w:val="24"/>
                      <w:szCs w:val="24"/>
                      <w:lang w:eastAsia="bg-BG"/>
                    </w:rPr>
                    <w:t xml:space="preserve">           </w:t>
                  </w:r>
                  <w:r w:rsidR="00B63893" w:rsidRPr="00B64E3C">
                    <w:rPr>
                      <w:rFonts w:ascii="Times New Roman" w:eastAsia="Times New Roman" w:hAnsi="Times New Roman" w:cs="Times New Roman"/>
                      <w:b/>
                      <w:bCs/>
                      <w:color w:val="000000"/>
                      <w:sz w:val="24"/>
                      <w:szCs w:val="24"/>
                      <w:lang w:eastAsia="bg-BG"/>
                    </w:rPr>
                    <w:t>Максимален праг</w:t>
                  </w:r>
                </w:p>
              </w:tc>
            </w:tr>
            <w:tr w:rsidR="00B63893" w14:paraId="3235DB90" w14:textId="77777777" w:rsidTr="00BE659F">
              <w:tblPrEx>
                <w:tblLook w:val="0000" w:firstRow="0" w:lastRow="0" w:firstColumn="0" w:lastColumn="0" w:noHBand="0" w:noVBand="0"/>
              </w:tblPrEx>
              <w:trPr>
                <w:trHeight w:val="1440"/>
              </w:trPr>
              <w:tc>
                <w:tcPr>
                  <w:tcW w:w="704" w:type="dxa"/>
                  <w:tcBorders>
                    <w:top w:val="single" w:sz="6" w:space="0" w:color="auto"/>
                    <w:left w:val="single" w:sz="4" w:space="0" w:color="auto"/>
                    <w:bottom w:val="single" w:sz="6" w:space="0" w:color="auto"/>
                    <w:right w:val="single" w:sz="6" w:space="0" w:color="auto"/>
                  </w:tcBorders>
                  <w:shd w:val="solid" w:color="FFFFFF" w:fill="auto"/>
                </w:tcPr>
                <w:p w14:paraId="2DC01EC1" w14:textId="77777777" w:rsidR="00B63893" w:rsidRPr="000E0C7F" w:rsidRDefault="00B63893" w:rsidP="00B63893">
                  <w:pPr>
                    <w:autoSpaceDE w:val="0"/>
                    <w:autoSpaceDN w:val="0"/>
                    <w:adjustRightInd w:val="0"/>
                    <w:spacing w:after="0" w:line="240" w:lineRule="auto"/>
                    <w:jc w:val="center"/>
                    <w:rPr>
                      <w:rFonts w:ascii="Times New Roman" w:hAnsi="Times New Roman" w:cs="Times New Roman"/>
                      <w:b/>
                      <w:color w:val="000000"/>
                      <w:sz w:val="24"/>
                      <w:szCs w:val="24"/>
                    </w:rPr>
                  </w:pPr>
                  <w:r w:rsidRPr="000E0C7F">
                    <w:rPr>
                      <w:rFonts w:ascii="Times New Roman" w:hAnsi="Times New Roman" w:cs="Times New Roman"/>
                      <w:b/>
                      <w:color w:val="000000"/>
                      <w:sz w:val="24"/>
                      <w:szCs w:val="24"/>
                    </w:rPr>
                    <w:t>1.</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3E688C8F" w14:textId="70946DD0" w:rsidR="00B63893" w:rsidRDefault="00B63893" w:rsidP="00EC309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Проекти, отговарящи на Приоритет 1 „Модернизирана базисна инфраструктура и качествена жизнена и околна среда“  на Общински план за развитие на община Поморие за периода 2014-2020г</w:t>
                  </w:r>
                  <w:r>
                    <w:rPr>
                      <w:rFonts w:ascii="Times New Roman" w:hAnsi="Times New Roman" w:cs="Times New Roman"/>
                      <w:color w:val="000000"/>
                      <w:sz w:val="24"/>
                      <w:szCs w:val="24"/>
                    </w:rPr>
                    <w:t>.</w:t>
                  </w:r>
                </w:p>
              </w:tc>
              <w:tc>
                <w:tcPr>
                  <w:tcW w:w="4536" w:type="dxa"/>
                  <w:tcBorders>
                    <w:top w:val="single" w:sz="6" w:space="0" w:color="auto"/>
                    <w:left w:val="single" w:sz="6" w:space="0" w:color="auto"/>
                    <w:bottom w:val="single" w:sz="6" w:space="0" w:color="auto"/>
                    <w:right w:val="single" w:sz="6" w:space="0" w:color="auto"/>
                  </w:tcBorders>
                  <w:shd w:val="solid" w:color="FFFFFF" w:fill="auto"/>
                </w:tcPr>
                <w:p w14:paraId="4BE52E81" w14:textId="77777777" w:rsidR="00B63893" w:rsidRDefault="00B63893" w:rsidP="00B63893">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15</w:t>
                  </w:r>
                </w:p>
              </w:tc>
            </w:tr>
            <w:tr w:rsidR="00B63893" w14:paraId="7531CEA1" w14:textId="77777777" w:rsidTr="00BE659F">
              <w:tblPrEx>
                <w:tblLook w:val="0000" w:firstRow="0" w:lastRow="0" w:firstColumn="0" w:lastColumn="0" w:noHBand="0" w:noVBand="0"/>
              </w:tblPrEx>
              <w:trPr>
                <w:trHeight w:val="475"/>
              </w:trPr>
              <w:tc>
                <w:tcPr>
                  <w:tcW w:w="704" w:type="dxa"/>
                  <w:tcBorders>
                    <w:top w:val="single" w:sz="6" w:space="0" w:color="auto"/>
                    <w:left w:val="single" w:sz="4" w:space="0" w:color="auto"/>
                    <w:bottom w:val="single" w:sz="6" w:space="0" w:color="auto"/>
                    <w:right w:val="single" w:sz="6" w:space="0" w:color="auto"/>
                  </w:tcBorders>
                  <w:shd w:val="solid" w:color="FFFFFF" w:fill="auto"/>
                </w:tcPr>
                <w:p w14:paraId="5734EED7" w14:textId="77777777" w:rsidR="00B63893" w:rsidRPr="000E0C7F" w:rsidRDefault="00B63893" w:rsidP="00B63893">
                  <w:pPr>
                    <w:autoSpaceDE w:val="0"/>
                    <w:autoSpaceDN w:val="0"/>
                    <w:adjustRightInd w:val="0"/>
                    <w:spacing w:after="0" w:line="240" w:lineRule="auto"/>
                    <w:jc w:val="center"/>
                    <w:rPr>
                      <w:rFonts w:ascii="Times New Roman" w:hAnsi="Times New Roman" w:cs="Times New Roman"/>
                      <w:b/>
                      <w:color w:val="000000"/>
                      <w:sz w:val="24"/>
                      <w:szCs w:val="24"/>
                    </w:rPr>
                  </w:pPr>
                  <w:r w:rsidRPr="000E0C7F">
                    <w:rPr>
                      <w:rFonts w:ascii="Times New Roman" w:hAnsi="Times New Roman" w:cs="Times New Roman"/>
                      <w:b/>
                      <w:color w:val="000000"/>
                      <w:sz w:val="24"/>
                      <w:szCs w:val="24"/>
                    </w:rPr>
                    <w:t>2</w:t>
                  </w:r>
                </w:p>
              </w:tc>
              <w:tc>
                <w:tcPr>
                  <w:tcW w:w="4962" w:type="dxa"/>
                  <w:tcBorders>
                    <w:top w:val="single" w:sz="6" w:space="0" w:color="auto"/>
                    <w:left w:val="single" w:sz="6" w:space="0" w:color="auto"/>
                    <w:bottom w:val="single" w:sz="6" w:space="0" w:color="auto"/>
                    <w:right w:val="single" w:sz="6" w:space="0" w:color="auto"/>
                  </w:tcBorders>
                  <w:shd w:val="solid" w:color="FFFFFF" w:fill="auto"/>
                </w:tcPr>
                <w:p w14:paraId="24BB8B8B" w14:textId="77777777" w:rsidR="00B63893" w:rsidRPr="000E0C7F" w:rsidRDefault="00B63893" w:rsidP="00B63893">
                  <w:pPr>
                    <w:autoSpaceDE w:val="0"/>
                    <w:autoSpaceDN w:val="0"/>
                    <w:adjustRightInd w:val="0"/>
                    <w:spacing w:after="0" w:line="240" w:lineRule="auto"/>
                    <w:rPr>
                      <w:rFonts w:ascii="Times New Roman" w:hAnsi="Times New Roman" w:cs="Times New Roman"/>
                      <w:b/>
                      <w:color w:val="000000"/>
                      <w:sz w:val="24"/>
                      <w:szCs w:val="24"/>
                    </w:rPr>
                  </w:pPr>
                  <w:r w:rsidRPr="000E0C7F">
                    <w:rPr>
                      <w:rFonts w:ascii="Times New Roman" w:hAnsi="Times New Roman" w:cs="Times New Roman"/>
                      <w:b/>
                      <w:color w:val="000000"/>
                      <w:sz w:val="24"/>
                      <w:szCs w:val="24"/>
                    </w:rPr>
                    <w:t xml:space="preserve">Проекти с дейности в населени места извън общинския център </w:t>
                  </w:r>
                </w:p>
              </w:tc>
              <w:tc>
                <w:tcPr>
                  <w:tcW w:w="4536" w:type="dxa"/>
                  <w:tcBorders>
                    <w:top w:val="single" w:sz="6" w:space="0" w:color="auto"/>
                    <w:left w:val="single" w:sz="6" w:space="0" w:color="auto"/>
                    <w:bottom w:val="single" w:sz="6" w:space="0" w:color="auto"/>
                    <w:right w:val="single" w:sz="6" w:space="0" w:color="auto"/>
                  </w:tcBorders>
                  <w:shd w:val="solid" w:color="FFFFFF" w:fill="auto"/>
                </w:tcPr>
                <w:p w14:paraId="49E51A61" w14:textId="77777777" w:rsidR="00B63893" w:rsidRPr="000E0C7F" w:rsidRDefault="00B63893" w:rsidP="00B63893">
                  <w:pPr>
                    <w:autoSpaceDE w:val="0"/>
                    <w:autoSpaceDN w:val="0"/>
                    <w:adjustRightInd w:val="0"/>
                    <w:spacing w:after="0" w:line="240" w:lineRule="auto"/>
                    <w:jc w:val="center"/>
                    <w:rPr>
                      <w:rFonts w:ascii="Times New Roman" w:hAnsi="Times New Roman" w:cs="Times New Roman"/>
                      <w:b/>
                      <w:color w:val="000000"/>
                      <w:sz w:val="24"/>
                      <w:szCs w:val="24"/>
                    </w:rPr>
                  </w:pPr>
                  <w:r w:rsidRPr="000E0C7F">
                    <w:rPr>
                      <w:rFonts w:ascii="Times New Roman" w:hAnsi="Times New Roman" w:cs="Times New Roman"/>
                      <w:b/>
                      <w:color w:val="000000"/>
                      <w:sz w:val="24"/>
                      <w:szCs w:val="24"/>
                    </w:rPr>
                    <w:t>15</w:t>
                  </w:r>
                </w:p>
              </w:tc>
            </w:tr>
            <w:tr w:rsidR="00B63893" w14:paraId="2D35F672" w14:textId="77777777" w:rsidTr="00BE659F">
              <w:tblPrEx>
                <w:tblLook w:val="0000" w:firstRow="0" w:lastRow="0" w:firstColumn="0" w:lastColumn="0" w:noHBand="0" w:noVBand="0"/>
              </w:tblPrEx>
              <w:trPr>
                <w:trHeight w:val="712"/>
              </w:trPr>
              <w:tc>
                <w:tcPr>
                  <w:tcW w:w="704" w:type="dxa"/>
                  <w:tcBorders>
                    <w:top w:val="single" w:sz="6" w:space="0" w:color="auto"/>
                    <w:left w:val="single" w:sz="4" w:space="0" w:color="auto"/>
                    <w:bottom w:val="single" w:sz="6" w:space="0" w:color="auto"/>
                    <w:right w:val="single" w:sz="6" w:space="0" w:color="auto"/>
                  </w:tcBorders>
                </w:tcPr>
                <w:p w14:paraId="12D0FD10" w14:textId="77777777" w:rsidR="00B63893" w:rsidRDefault="00B63893" w:rsidP="00B63893">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3</w:t>
                  </w:r>
                </w:p>
              </w:tc>
              <w:tc>
                <w:tcPr>
                  <w:tcW w:w="4962" w:type="dxa"/>
                  <w:tcBorders>
                    <w:top w:val="single" w:sz="6" w:space="0" w:color="auto"/>
                    <w:left w:val="single" w:sz="6" w:space="0" w:color="auto"/>
                    <w:bottom w:val="single" w:sz="6" w:space="0" w:color="auto"/>
                    <w:right w:val="single" w:sz="6" w:space="0" w:color="auto"/>
                  </w:tcBorders>
                </w:tcPr>
                <w:p w14:paraId="76890AFA" w14:textId="0945BFF9" w:rsidR="00B63893" w:rsidRDefault="00B63893" w:rsidP="00EC3098">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Брой население, което ще се възползва от подобрените основни услуги, и обхвата на  териориално въздействие</w:t>
                  </w:r>
                </w:p>
              </w:tc>
              <w:tc>
                <w:tcPr>
                  <w:tcW w:w="4536" w:type="dxa"/>
                  <w:tcBorders>
                    <w:top w:val="single" w:sz="6" w:space="0" w:color="auto"/>
                    <w:left w:val="single" w:sz="6" w:space="0" w:color="auto"/>
                    <w:bottom w:val="single" w:sz="6" w:space="0" w:color="auto"/>
                    <w:right w:val="single" w:sz="6" w:space="0" w:color="auto"/>
                  </w:tcBorders>
                </w:tcPr>
                <w:p w14:paraId="0277138F" w14:textId="77777777" w:rsidR="00B63893" w:rsidRDefault="00B63893" w:rsidP="00B63893">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20</w:t>
                  </w:r>
                </w:p>
              </w:tc>
            </w:tr>
            <w:tr w:rsidR="00B63893" w14:paraId="4A9C1E8F" w14:textId="77777777" w:rsidTr="00BE659F">
              <w:tblPrEx>
                <w:tblLook w:val="0000" w:firstRow="0" w:lastRow="0" w:firstColumn="0" w:lastColumn="0" w:noHBand="0" w:noVBand="0"/>
              </w:tblPrEx>
              <w:trPr>
                <w:trHeight w:val="949"/>
              </w:trPr>
              <w:tc>
                <w:tcPr>
                  <w:tcW w:w="704" w:type="dxa"/>
                  <w:tcBorders>
                    <w:top w:val="single" w:sz="6" w:space="0" w:color="auto"/>
                    <w:left w:val="single" w:sz="4" w:space="0" w:color="auto"/>
                    <w:bottom w:val="single" w:sz="6" w:space="0" w:color="auto"/>
                    <w:right w:val="single" w:sz="6" w:space="0" w:color="auto"/>
                  </w:tcBorders>
                </w:tcPr>
                <w:p w14:paraId="0A3C2E50" w14:textId="77777777" w:rsidR="00B63893" w:rsidRDefault="00B63893" w:rsidP="00B63893">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3.1.</w:t>
                  </w:r>
                </w:p>
              </w:tc>
              <w:tc>
                <w:tcPr>
                  <w:tcW w:w="4962" w:type="dxa"/>
                  <w:tcBorders>
                    <w:top w:val="single" w:sz="6" w:space="0" w:color="auto"/>
                    <w:left w:val="single" w:sz="6" w:space="0" w:color="auto"/>
                    <w:bottom w:val="single" w:sz="6" w:space="0" w:color="auto"/>
                    <w:right w:val="single" w:sz="6" w:space="0" w:color="auto"/>
                  </w:tcBorders>
                </w:tcPr>
                <w:p w14:paraId="41C974B3" w14:textId="77777777" w:rsidR="00B63893" w:rsidRDefault="00B63893" w:rsidP="00B6389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Инвестицията се изпълнява на територията на населено място/населени места с общо население над 2000 души (по данни на Националния статистически институт към края на годината, предхождаща датата на кандидатстване)</w:t>
                  </w:r>
                </w:p>
              </w:tc>
              <w:tc>
                <w:tcPr>
                  <w:tcW w:w="4536" w:type="dxa"/>
                  <w:tcBorders>
                    <w:top w:val="single" w:sz="6" w:space="0" w:color="auto"/>
                    <w:left w:val="single" w:sz="6" w:space="0" w:color="auto"/>
                    <w:bottom w:val="single" w:sz="6" w:space="0" w:color="auto"/>
                    <w:right w:val="single" w:sz="6" w:space="0" w:color="auto"/>
                  </w:tcBorders>
                </w:tcPr>
                <w:p w14:paraId="688ED55C" w14:textId="77777777" w:rsidR="00B63893" w:rsidRDefault="00B63893" w:rsidP="00B63893">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20</w:t>
                  </w:r>
                </w:p>
              </w:tc>
            </w:tr>
            <w:tr w:rsidR="00B63893" w14:paraId="57D208EA" w14:textId="77777777" w:rsidTr="00BE659F">
              <w:tblPrEx>
                <w:tblLook w:val="0000" w:firstRow="0" w:lastRow="0" w:firstColumn="0" w:lastColumn="0" w:noHBand="0" w:noVBand="0"/>
              </w:tblPrEx>
              <w:trPr>
                <w:trHeight w:val="1189"/>
              </w:trPr>
              <w:tc>
                <w:tcPr>
                  <w:tcW w:w="704" w:type="dxa"/>
                  <w:tcBorders>
                    <w:top w:val="single" w:sz="6" w:space="0" w:color="auto"/>
                    <w:left w:val="single" w:sz="4" w:space="0" w:color="auto"/>
                    <w:bottom w:val="single" w:sz="6" w:space="0" w:color="auto"/>
                    <w:right w:val="single" w:sz="6" w:space="0" w:color="auto"/>
                  </w:tcBorders>
                </w:tcPr>
                <w:p w14:paraId="624D429E" w14:textId="77777777" w:rsidR="00B63893" w:rsidRDefault="00B63893" w:rsidP="00B63893">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3.2.</w:t>
                  </w:r>
                </w:p>
              </w:tc>
              <w:tc>
                <w:tcPr>
                  <w:tcW w:w="4962" w:type="dxa"/>
                  <w:tcBorders>
                    <w:top w:val="single" w:sz="6" w:space="0" w:color="auto"/>
                    <w:left w:val="single" w:sz="6" w:space="0" w:color="auto"/>
                    <w:bottom w:val="single" w:sz="6" w:space="0" w:color="auto"/>
                    <w:right w:val="single" w:sz="6" w:space="0" w:color="auto"/>
                  </w:tcBorders>
                </w:tcPr>
                <w:p w14:paraId="49018C1A" w14:textId="77777777" w:rsidR="00B63893" w:rsidRDefault="00B63893" w:rsidP="00B6389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Инвестицията се изпълнява на територията на населено място/населени места с общо население от 1001 до 2000 души (по данни на Националния статистически институт към края на годината, предхождаща датата на кандидатстване)</w:t>
                  </w:r>
                </w:p>
              </w:tc>
              <w:tc>
                <w:tcPr>
                  <w:tcW w:w="4536" w:type="dxa"/>
                  <w:tcBorders>
                    <w:top w:val="single" w:sz="6" w:space="0" w:color="auto"/>
                    <w:left w:val="single" w:sz="6" w:space="0" w:color="auto"/>
                    <w:bottom w:val="single" w:sz="6" w:space="0" w:color="auto"/>
                    <w:right w:val="single" w:sz="6" w:space="0" w:color="auto"/>
                  </w:tcBorders>
                </w:tcPr>
                <w:p w14:paraId="5B68A014" w14:textId="77777777" w:rsidR="00B63893" w:rsidRDefault="00B63893" w:rsidP="00B63893">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10</w:t>
                  </w:r>
                </w:p>
              </w:tc>
            </w:tr>
            <w:tr w:rsidR="00B63893" w14:paraId="7D6C0D98" w14:textId="77777777" w:rsidTr="00BE659F">
              <w:tblPrEx>
                <w:tblLook w:val="0000" w:firstRow="0" w:lastRow="0" w:firstColumn="0" w:lastColumn="0" w:noHBand="0" w:noVBand="0"/>
              </w:tblPrEx>
              <w:trPr>
                <w:trHeight w:val="949"/>
              </w:trPr>
              <w:tc>
                <w:tcPr>
                  <w:tcW w:w="704" w:type="dxa"/>
                  <w:tcBorders>
                    <w:top w:val="single" w:sz="6" w:space="0" w:color="auto"/>
                    <w:left w:val="single" w:sz="4" w:space="0" w:color="auto"/>
                    <w:bottom w:val="single" w:sz="6" w:space="0" w:color="auto"/>
                    <w:right w:val="single" w:sz="6" w:space="0" w:color="auto"/>
                  </w:tcBorders>
                </w:tcPr>
                <w:p w14:paraId="2FACD732" w14:textId="77777777" w:rsidR="00B63893" w:rsidRDefault="00B63893" w:rsidP="00B63893">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3.3.</w:t>
                  </w:r>
                </w:p>
              </w:tc>
              <w:tc>
                <w:tcPr>
                  <w:tcW w:w="4962" w:type="dxa"/>
                  <w:tcBorders>
                    <w:top w:val="single" w:sz="6" w:space="0" w:color="auto"/>
                    <w:left w:val="single" w:sz="6" w:space="0" w:color="auto"/>
                    <w:bottom w:val="single" w:sz="6" w:space="0" w:color="auto"/>
                    <w:right w:val="single" w:sz="6" w:space="0" w:color="auto"/>
                  </w:tcBorders>
                </w:tcPr>
                <w:p w14:paraId="14C85902" w14:textId="77777777" w:rsidR="00B63893" w:rsidRDefault="00B63893" w:rsidP="00B6389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Инвестицията се изпълнява на територията на населено място/населени места с общо население до 1000 души (по данни на Националния статистически институт към края на годината, предхождаща датата на кандидатстване)</w:t>
                  </w:r>
                </w:p>
              </w:tc>
              <w:tc>
                <w:tcPr>
                  <w:tcW w:w="4536" w:type="dxa"/>
                  <w:tcBorders>
                    <w:top w:val="single" w:sz="6" w:space="0" w:color="auto"/>
                    <w:left w:val="single" w:sz="6" w:space="0" w:color="auto"/>
                    <w:bottom w:val="single" w:sz="6" w:space="0" w:color="auto"/>
                    <w:right w:val="single" w:sz="6" w:space="0" w:color="auto"/>
                  </w:tcBorders>
                </w:tcPr>
                <w:p w14:paraId="650B4BE9" w14:textId="77777777" w:rsidR="00B63893" w:rsidRDefault="00B63893" w:rsidP="00B63893">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5</w:t>
                  </w:r>
                </w:p>
              </w:tc>
            </w:tr>
            <w:tr w:rsidR="00B63893" w14:paraId="358207A3" w14:textId="77777777" w:rsidTr="00BE659F">
              <w:tblPrEx>
                <w:tblLook w:val="0000" w:firstRow="0" w:lastRow="0" w:firstColumn="0" w:lastColumn="0" w:noHBand="0" w:noVBand="0"/>
              </w:tblPrEx>
              <w:trPr>
                <w:trHeight w:val="610"/>
              </w:trPr>
              <w:tc>
                <w:tcPr>
                  <w:tcW w:w="704" w:type="dxa"/>
                  <w:tcBorders>
                    <w:top w:val="single" w:sz="6" w:space="0" w:color="auto"/>
                    <w:left w:val="single" w:sz="4" w:space="0" w:color="auto"/>
                    <w:bottom w:val="single" w:sz="6" w:space="0" w:color="auto"/>
                    <w:right w:val="single" w:sz="6" w:space="0" w:color="auto"/>
                  </w:tcBorders>
                </w:tcPr>
                <w:p w14:paraId="35528C43" w14:textId="77777777" w:rsidR="00B63893" w:rsidRDefault="00B63893" w:rsidP="00B63893">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4</w:t>
                  </w:r>
                </w:p>
              </w:tc>
              <w:tc>
                <w:tcPr>
                  <w:tcW w:w="4962" w:type="dxa"/>
                  <w:tcBorders>
                    <w:top w:val="nil"/>
                    <w:left w:val="nil"/>
                    <w:bottom w:val="nil"/>
                    <w:right w:val="nil"/>
                  </w:tcBorders>
                </w:tcPr>
                <w:p w14:paraId="3ADBAC8C" w14:textId="77777777" w:rsidR="00B63893" w:rsidRPr="00230B67" w:rsidRDefault="00B63893" w:rsidP="00B63893">
                  <w:pPr>
                    <w:autoSpaceDE w:val="0"/>
                    <w:autoSpaceDN w:val="0"/>
                    <w:adjustRightInd w:val="0"/>
                    <w:spacing w:after="0" w:line="240" w:lineRule="auto"/>
                    <w:rPr>
                      <w:rFonts w:ascii="Times New Roman" w:hAnsi="Times New Roman" w:cs="Times New Roman"/>
                      <w:b/>
                      <w:bCs/>
                      <w:color w:val="000000"/>
                      <w:sz w:val="24"/>
                      <w:szCs w:val="24"/>
                    </w:rPr>
                  </w:pPr>
                  <w:r w:rsidRPr="00230B67">
                    <w:rPr>
                      <w:rFonts w:ascii="Times New Roman" w:hAnsi="Times New Roman" w:cs="Times New Roman"/>
                      <w:b/>
                      <w:bCs/>
                      <w:color w:val="000000"/>
                      <w:sz w:val="24"/>
                      <w:szCs w:val="24"/>
                    </w:rPr>
                    <w:t>Проекти, създаващи работни места при изпълнение на допустимите дейности</w:t>
                  </w:r>
                </w:p>
              </w:tc>
              <w:tc>
                <w:tcPr>
                  <w:tcW w:w="4536" w:type="dxa"/>
                  <w:tcBorders>
                    <w:top w:val="single" w:sz="6" w:space="0" w:color="auto"/>
                    <w:left w:val="single" w:sz="6" w:space="0" w:color="auto"/>
                    <w:bottom w:val="single" w:sz="6" w:space="0" w:color="auto"/>
                    <w:right w:val="single" w:sz="6" w:space="0" w:color="auto"/>
                  </w:tcBorders>
                </w:tcPr>
                <w:p w14:paraId="18775845" w14:textId="77777777" w:rsidR="00B63893" w:rsidRDefault="00B63893" w:rsidP="00B63893">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20</w:t>
                  </w:r>
                </w:p>
              </w:tc>
            </w:tr>
            <w:tr w:rsidR="00B63893" w14:paraId="00178446" w14:textId="77777777" w:rsidTr="00BE659F">
              <w:tblPrEx>
                <w:tblLook w:val="0000" w:firstRow="0" w:lastRow="0" w:firstColumn="0" w:lastColumn="0" w:noHBand="0" w:noVBand="0"/>
              </w:tblPrEx>
              <w:trPr>
                <w:trHeight w:val="475"/>
              </w:trPr>
              <w:tc>
                <w:tcPr>
                  <w:tcW w:w="704" w:type="dxa"/>
                  <w:tcBorders>
                    <w:top w:val="single" w:sz="6" w:space="0" w:color="auto"/>
                    <w:left w:val="single" w:sz="4" w:space="0" w:color="auto"/>
                    <w:bottom w:val="single" w:sz="6" w:space="0" w:color="auto"/>
                    <w:right w:val="single" w:sz="6" w:space="0" w:color="auto"/>
                  </w:tcBorders>
                </w:tcPr>
                <w:p w14:paraId="586BD75F" w14:textId="77777777" w:rsidR="00B63893" w:rsidRDefault="00B63893" w:rsidP="00B63893">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4.1.</w:t>
                  </w:r>
                </w:p>
              </w:tc>
              <w:tc>
                <w:tcPr>
                  <w:tcW w:w="4962" w:type="dxa"/>
                  <w:tcBorders>
                    <w:top w:val="single" w:sz="6" w:space="0" w:color="auto"/>
                    <w:left w:val="single" w:sz="6" w:space="0" w:color="auto"/>
                    <w:bottom w:val="single" w:sz="6" w:space="0" w:color="auto"/>
                    <w:right w:val="single" w:sz="6" w:space="0" w:color="auto"/>
                  </w:tcBorders>
                </w:tcPr>
                <w:p w14:paraId="3C324B94" w14:textId="77777777" w:rsidR="00B63893" w:rsidRDefault="00B63893" w:rsidP="00B6389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изпълнение дейностите по проекта кандидатът ще създаде над 2 работни места </w:t>
                  </w:r>
                </w:p>
              </w:tc>
              <w:tc>
                <w:tcPr>
                  <w:tcW w:w="4536" w:type="dxa"/>
                  <w:tcBorders>
                    <w:top w:val="single" w:sz="6" w:space="0" w:color="auto"/>
                    <w:left w:val="single" w:sz="6" w:space="0" w:color="auto"/>
                    <w:bottom w:val="single" w:sz="6" w:space="0" w:color="auto"/>
                    <w:right w:val="single" w:sz="6" w:space="0" w:color="auto"/>
                  </w:tcBorders>
                </w:tcPr>
                <w:p w14:paraId="708A2E1A" w14:textId="77777777" w:rsidR="00B63893" w:rsidRDefault="00B63893" w:rsidP="00B63893">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20</w:t>
                  </w:r>
                </w:p>
              </w:tc>
            </w:tr>
            <w:tr w:rsidR="00B63893" w14:paraId="7C4B28C2" w14:textId="77777777" w:rsidTr="00BE659F">
              <w:tblPrEx>
                <w:tblLook w:val="0000" w:firstRow="0" w:lastRow="0" w:firstColumn="0" w:lastColumn="0" w:noHBand="0" w:noVBand="0"/>
              </w:tblPrEx>
              <w:trPr>
                <w:trHeight w:val="475"/>
              </w:trPr>
              <w:tc>
                <w:tcPr>
                  <w:tcW w:w="704" w:type="dxa"/>
                  <w:tcBorders>
                    <w:top w:val="single" w:sz="6" w:space="0" w:color="auto"/>
                    <w:left w:val="single" w:sz="4" w:space="0" w:color="auto"/>
                    <w:bottom w:val="single" w:sz="6" w:space="0" w:color="auto"/>
                    <w:right w:val="single" w:sz="6" w:space="0" w:color="auto"/>
                  </w:tcBorders>
                </w:tcPr>
                <w:p w14:paraId="213A2967" w14:textId="77777777" w:rsidR="00B63893" w:rsidRDefault="00B63893" w:rsidP="00B63893">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lastRenderedPageBreak/>
                    <w:t>4.2.</w:t>
                  </w:r>
                </w:p>
              </w:tc>
              <w:tc>
                <w:tcPr>
                  <w:tcW w:w="4962" w:type="dxa"/>
                  <w:tcBorders>
                    <w:top w:val="single" w:sz="6" w:space="0" w:color="auto"/>
                    <w:left w:val="single" w:sz="6" w:space="0" w:color="auto"/>
                    <w:bottom w:val="single" w:sz="6" w:space="0" w:color="auto"/>
                    <w:right w:val="single" w:sz="6" w:space="0" w:color="auto"/>
                  </w:tcBorders>
                </w:tcPr>
                <w:p w14:paraId="4F532232" w14:textId="77777777" w:rsidR="00B63893" w:rsidRDefault="00B63893" w:rsidP="00B6389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изпълнение дейностите по проекта кандидатът ще създаде до 2 работни места </w:t>
                  </w:r>
                </w:p>
              </w:tc>
              <w:tc>
                <w:tcPr>
                  <w:tcW w:w="4536" w:type="dxa"/>
                  <w:tcBorders>
                    <w:top w:val="single" w:sz="6" w:space="0" w:color="auto"/>
                    <w:left w:val="single" w:sz="6" w:space="0" w:color="auto"/>
                    <w:bottom w:val="single" w:sz="6" w:space="0" w:color="auto"/>
                    <w:right w:val="single" w:sz="6" w:space="0" w:color="auto"/>
                  </w:tcBorders>
                </w:tcPr>
                <w:p w14:paraId="4353AE1B" w14:textId="77777777" w:rsidR="00B63893" w:rsidRDefault="00B63893" w:rsidP="00B63893">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10</w:t>
                  </w:r>
                </w:p>
              </w:tc>
            </w:tr>
            <w:tr w:rsidR="00B63893" w14:paraId="1FBF4EB0" w14:textId="77777777" w:rsidTr="00BE659F">
              <w:tblPrEx>
                <w:tblLook w:val="0000" w:firstRow="0" w:lastRow="0" w:firstColumn="0" w:lastColumn="0" w:noHBand="0" w:noVBand="0"/>
              </w:tblPrEx>
              <w:trPr>
                <w:trHeight w:val="949"/>
              </w:trPr>
              <w:tc>
                <w:tcPr>
                  <w:tcW w:w="704" w:type="dxa"/>
                  <w:tcBorders>
                    <w:top w:val="single" w:sz="6" w:space="0" w:color="auto"/>
                    <w:left w:val="single" w:sz="4" w:space="0" w:color="auto"/>
                    <w:bottom w:val="single" w:sz="6" w:space="0" w:color="auto"/>
                    <w:right w:val="single" w:sz="6" w:space="0" w:color="auto"/>
                  </w:tcBorders>
                </w:tcPr>
                <w:p w14:paraId="6A678A58" w14:textId="77777777" w:rsidR="00B63893" w:rsidRDefault="00B63893" w:rsidP="00B63893">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5</w:t>
                  </w:r>
                </w:p>
              </w:tc>
              <w:tc>
                <w:tcPr>
                  <w:tcW w:w="4962" w:type="dxa"/>
                  <w:tcBorders>
                    <w:top w:val="single" w:sz="6" w:space="0" w:color="auto"/>
                    <w:left w:val="single" w:sz="6" w:space="0" w:color="auto"/>
                    <w:bottom w:val="single" w:sz="6" w:space="0" w:color="auto"/>
                    <w:right w:val="nil"/>
                  </w:tcBorders>
                </w:tcPr>
                <w:p w14:paraId="21333327" w14:textId="77777777" w:rsidR="00B63893" w:rsidRDefault="00B63893" w:rsidP="00B63893">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Проекти, които имат готова техническа документация - инвестиционен проект, изработен във фаза „Технически проект” или „Работен проект” в съответствие с изискванията на ЗУТ </w:t>
                  </w:r>
                </w:p>
              </w:tc>
              <w:tc>
                <w:tcPr>
                  <w:tcW w:w="4536" w:type="dxa"/>
                  <w:tcBorders>
                    <w:top w:val="single" w:sz="6" w:space="0" w:color="auto"/>
                    <w:left w:val="single" w:sz="6" w:space="0" w:color="auto"/>
                    <w:bottom w:val="single" w:sz="6" w:space="0" w:color="auto"/>
                    <w:right w:val="single" w:sz="6" w:space="0" w:color="auto"/>
                  </w:tcBorders>
                </w:tcPr>
                <w:p w14:paraId="443E2932" w14:textId="77777777" w:rsidR="00B63893" w:rsidRDefault="00B63893" w:rsidP="00B63893">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10</w:t>
                  </w:r>
                </w:p>
              </w:tc>
            </w:tr>
            <w:tr w:rsidR="00B63893" w14:paraId="51E70E99" w14:textId="77777777" w:rsidTr="00BE659F">
              <w:tblPrEx>
                <w:tblLook w:val="0000" w:firstRow="0" w:lastRow="0" w:firstColumn="0" w:lastColumn="0" w:noHBand="0" w:noVBand="0"/>
              </w:tblPrEx>
              <w:trPr>
                <w:trHeight w:val="475"/>
              </w:trPr>
              <w:tc>
                <w:tcPr>
                  <w:tcW w:w="704" w:type="dxa"/>
                  <w:tcBorders>
                    <w:top w:val="single" w:sz="6" w:space="0" w:color="auto"/>
                    <w:left w:val="single" w:sz="4" w:space="0" w:color="auto"/>
                    <w:bottom w:val="single" w:sz="6" w:space="0" w:color="auto"/>
                    <w:right w:val="single" w:sz="6" w:space="0" w:color="auto"/>
                  </w:tcBorders>
                </w:tcPr>
                <w:p w14:paraId="093A8285" w14:textId="77777777" w:rsidR="00B63893" w:rsidRDefault="00B63893" w:rsidP="00B63893">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6</w:t>
                  </w:r>
                </w:p>
              </w:tc>
              <w:tc>
                <w:tcPr>
                  <w:tcW w:w="4962" w:type="dxa"/>
                  <w:tcBorders>
                    <w:top w:val="single" w:sz="6" w:space="0" w:color="auto"/>
                    <w:left w:val="single" w:sz="6" w:space="0" w:color="auto"/>
                    <w:bottom w:val="single" w:sz="6" w:space="0" w:color="auto"/>
                    <w:right w:val="nil"/>
                  </w:tcBorders>
                </w:tcPr>
                <w:p w14:paraId="24ADCDDC" w14:textId="77777777" w:rsidR="00B63893" w:rsidRDefault="00B63893" w:rsidP="00B63893">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Проекти, осигуряващи подобряване на околната среда и постигащи екологичен ефект и въздействие </w:t>
                  </w:r>
                </w:p>
              </w:tc>
              <w:tc>
                <w:tcPr>
                  <w:tcW w:w="4536" w:type="dxa"/>
                  <w:tcBorders>
                    <w:top w:val="single" w:sz="6" w:space="0" w:color="auto"/>
                    <w:left w:val="single" w:sz="6" w:space="0" w:color="auto"/>
                    <w:bottom w:val="single" w:sz="6" w:space="0" w:color="auto"/>
                    <w:right w:val="single" w:sz="6" w:space="0" w:color="auto"/>
                  </w:tcBorders>
                </w:tcPr>
                <w:p w14:paraId="3ABF2479" w14:textId="77777777" w:rsidR="00B63893" w:rsidRDefault="00B63893" w:rsidP="00B63893">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10</w:t>
                  </w:r>
                </w:p>
              </w:tc>
            </w:tr>
            <w:tr w:rsidR="00B63893" w14:paraId="0AC5D258" w14:textId="77777777" w:rsidTr="00BE659F">
              <w:tblPrEx>
                <w:tblLook w:val="0000" w:firstRow="0" w:lastRow="0" w:firstColumn="0" w:lastColumn="0" w:noHBand="0" w:noVBand="0"/>
              </w:tblPrEx>
              <w:trPr>
                <w:trHeight w:val="475"/>
              </w:trPr>
              <w:tc>
                <w:tcPr>
                  <w:tcW w:w="704" w:type="dxa"/>
                  <w:tcBorders>
                    <w:top w:val="single" w:sz="6" w:space="0" w:color="auto"/>
                    <w:left w:val="single" w:sz="4" w:space="0" w:color="auto"/>
                    <w:bottom w:val="single" w:sz="6" w:space="0" w:color="auto"/>
                    <w:right w:val="single" w:sz="6" w:space="0" w:color="auto"/>
                  </w:tcBorders>
                </w:tcPr>
                <w:p w14:paraId="2827D8DA" w14:textId="77777777" w:rsidR="00B63893" w:rsidRDefault="00B63893" w:rsidP="00B63893">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7</w:t>
                  </w:r>
                </w:p>
              </w:tc>
              <w:tc>
                <w:tcPr>
                  <w:tcW w:w="4962" w:type="dxa"/>
                  <w:tcBorders>
                    <w:top w:val="single" w:sz="6" w:space="0" w:color="auto"/>
                    <w:left w:val="single" w:sz="6" w:space="0" w:color="auto"/>
                    <w:bottom w:val="single" w:sz="6" w:space="0" w:color="auto"/>
                    <w:right w:val="nil"/>
                  </w:tcBorders>
                </w:tcPr>
                <w:p w14:paraId="11BF54D9" w14:textId="77777777" w:rsidR="00B63893" w:rsidRDefault="00B63893" w:rsidP="00B63893">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Проектът предвижда изграждане на достъпна инфраструктура за хора в неравностойно положение </w:t>
                  </w:r>
                </w:p>
                <w:p w14:paraId="7426D375" w14:textId="77777777" w:rsidR="00C6065B" w:rsidRDefault="00C6065B" w:rsidP="00B63893">
                  <w:pPr>
                    <w:autoSpaceDE w:val="0"/>
                    <w:autoSpaceDN w:val="0"/>
                    <w:adjustRightInd w:val="0"/>
                    <w:spacing w:after="0" w:line="240" w:lineRule="auto"/>
                    <w:rPr>
                      <w:rFonts w:ascii="Times New Roman" w:hAnsi="Times New Roman" w:cs="Times New Roman"/>
                      <w:b/>
                      <w:bCs/>
                      <w:color w:val="000000"/>
                      <w:sz w:val="24"/>
                      <w:szCs w:val="24"/>
                    </w:rPr>
                  </w:pPr>
                </w:p>
                <w:p w14:paraId="1BB6F1CC" w14:textId="02422BB5" w:rsidR="00C6065B" w:rsidRDefault="00C6065B" w:rsidP="00B63893">
                  <w:pPr>
                    <w:autoSpaceDE w:val="0"/>
                    <w:autoSpaceDN w:val="0"/>
                    <w:adjustRightInd w:val="0"/>
                    <w:spacing w:after="0" w:line="240" w:lineRule="auto"/>
                    <w:rPr>
                      <w:rFonts w:ascii="Times New Roman" w:hAnsi="Times New Roman" w:cs="Times New Roman"/>
                      <w:b/>
                      <w:bCs/>
                      <w:color w:val="000000"/>
                      <w:sz w:val="24"/>
                      <w:szCs w:val="24"/>
                    </w:rPr>
                  </w:pPr>
                </w:p>
              </w:tc>
              <w:tc>
                <w:tcPr>
                  <w:tcW w:w="4536" w:type="dxa"/>
                  <w:tcBorders>
                    <w:top w:val="single" w:sz="6" w:space="0" w:color="auto"/>
                    <w:left w:val="single" w:sz="6" w:space="0" w:color="auto"/>
                    <w:bottom w:val="single" w:sz="6" w:space="0" w:color="auto"/>
                    <w:right w:val="single" w:sz="6" w:space="0" w:color="auto"/>
                  </w:tcBorders>
                </w:tcPr>
                <w:p w14:paraId="5466E757" w14:textId="77777777" w:rsidR="00B63893" w:rsidRDefault="00B63893" w:rsidP="00B63893">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10</w:t>
                  </w:r>
                </w:p>
              </w:tc>
            </w:tr>
            <w:tr w:rsidR="00B63893" w14:paraId="11CD76F6" w14:textId="77777777" w:rsidTr="00BE659F">
              <w:tblPrEx>
                <w:tblLook w:val="0000" w:firstRow="0" w:lastRow="0" w:firstColumn="0" w:lastColumn="0" w:noHBand="0" w:noVBand="0"/>
              </w:tblPrEx>
              <w:trPr>
                <w:trHeight w:val="236"/>
              </w:trPr>
              <w:tc>
                <w:tcPr>
                  <w:tcW w:w="704" w:type="dxa"/>
                  <w:tcBorders>
                    <w:top w:val="single" w:sz="6" w:space="0" w:color="auto"/>
                    <w:left w:val="single" w:sz="4" w:space="0" w:color="auto"/>
                    <w:bottom w:val="single" w:sz="6" w:space="0" w:color="auto"/>
                    <w:right w:val="single" w:sz="6" w:space="0" w:color="auto"/>
                  </w:tcBorders>
                  <w:shd w:val="solid" w:color="C0C0C0" w:fill="auto"/>
                </w:tcPr>
                <w:p w14:paraId="6223365C" w14:textId="77777777" w:rsidR="00B63893" w:rsidRDefault="00B63893" w:rsidP="00B63893">
                  <w:pPr>
                    <w:autoSpaceDE w:val="0"/>
                    <w:autoSpaceDN w:val="0"/>
                    <w:adjustRightInd w:val="0"/>
                    <w:spacing w:after="0" w:line="240" w:lineRule="auto"/>
                    <w:jc w:val="right"/>
                    <w:rPr>
                      <w:rFonts w:ascii="Times New Roman" w:hAnsi="Times New Roman" w:cs="Times New Roman"/>
                      <w:color w:val="000000"/>
                      <w:sz w:val="24"/>
                      <w:szCs w:val="24"/>
                    </w:rPr>
                  </w:pPr>
                </w:p>
              </w:tc>
              <w:tc>
                <w:tcPr>
                  <w:tcW w:w="4962" w:type="dxa"/>
                  <w:tcBorders>
                    <w:top w:val="single" w:sz="6" w:space="0" w:color="auto"/>
                    <w:left w:val="single" w:sz="6" w:space="0" w:color="auto"/>
                    <w:bottom w:val="single" w:sz="6" w:space="0" w:color="auto"/>
                    <w:right w:val="nil"/>
                  </w:tcBorders>
                  <w:shd w:val="solid" w:color="C0C0C0" w:fill="auto"/>
                </w:tcPr>
                <w:p w14:paraId="7BE950B1" w14:textId="77777777" w:rsidR="00B63893" w:rsidRDefault="00B63893" w:rsidP="00B63893">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Максимален брой точки</w:t>
                  </w:r>
                </w:p>
              </w:tc>
              <w:tc>
                <w:tcPr>
                  <w:tcW w:w="4536" w:type="dxa"/>
                  <w:tcBorders>
                    <w:top w:val="single" w:sz="6" w:space="0" w:color="auto"/>
                    <w:left w:val="single" w:sz="6" w:space="0" w:color="auto"/>
                    <w:bottom w:val="single" w:sz="6" w:space="0" w:color="auto"/>
                    <w:right w:val="single" w:sz="6" w:space="0" w:color="auto"/>
                  </w:tcBorders>
                  <w:shd w:val="solid" w:color="C0C0C0" w:fill="auto"/>
                </w:tcPr>
                <w:p w14:paraId="40C99E5F" w14:textId="77777777" w:rsidR="00B63893" w:rsidRDefault="00B63893" w:rsidP="00B63893">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100</w:t>
                  </w:r>
                </w:p>
              </w:tc>
            </w:tr>
            <w:tr w:rsidR="00B63893" w14:paraId="2122779C" w14:textId="77777777" w:rsidTr="00BE659F">
              <w:tblPrEx>
                <w:tblLook w:val="0000" w:firstRow="0" w:lastRow="0" w:firstColumn="0" w:lastColumn="0" w:noHBand="0" w:noVBand="0"/>
              </w:tblPrEx>
              <w:trPr>
                <w:trHeight w:val="236"/>
              </w:trPr>
              <w:tc>
                <w:tcPr>
                  <w:tcW w:w="704" w:type="dxa"/>
                  <w:tcBorders>
                    <w:top w:val="single" w:sz="6" w:space="0" w:color="auto"/>
                    <w:left w:val="single" w:sz="4" w:space="0" w:color="auto"/>
                    <w:bottom w:val="single" w:sz="4" w:space="0" w:color="auto"/>
                    <w:right w:val="single" w:sz="6" w:space="0" w:color="auto"/>
                  </w:tcBorders>
                  <w:shd w:val="solid" w:color="C0C0C0" w:fill="auto"/>
                </w:tcPr>
                <w:p w14:paraId="125963AF" w14:textId="77777777" w:rsidR="00B63893" w:rsidRDefault="00B63893" w:rsidP="00B63893">
                  <w:pPr>
                    <w:autoSpaceDE w:val="0"/>
                    <w:autoSpaceDN w:val="0"/>
                    <w:adjustRightInd w:val="0"/>
                    <w:spacing w:after="0" w:line="240" w:lineRule="auto"/>
                    <w:jc w:val="right"/>
                    <w:rPr>
                      <w:rFonts w:ascii="Times New Roman" w:hAnsi="Times New Roman" w:cs="Times New Roman"/>
                      <w:color w:val="000000"/>
                      <w:sz w:val="24"/>
                      <w:szCs w:val="24"/>
                    </w:rPr>
                  </w:pPr>
                </w:p>
              </w:tc>
              <w:tc>
                <w:tcPr>
                  <w:tcW w:w="4962" w:type="dxa"/>
                  <w:tcBorders>
                    <w:top w:val="single" w:sz="6" w:space="0" w:color="auto"/>
                    <w:left w:val="single" w:sz="6" w:space="0" w:color="auto"/>
                    <w:bottom w:val="single" w:sz="4" w:space="0" w:color="auto"/>
                    <w:right w:val="nil"/>
                  </w:tcBorders>
                  <w:shd w:val="solid" w:color="C0C0C0" w:fill="auto"/>
                </w:tcPr>
                <w:p w14:paraId="0A51D96A" w14:textId="77777777" w:rsidR="00B63893" w:rsidRDefault="00B63893" w:rsidP="00B63893">
                  <w:pPr>
                    <w:autoSpaceDE w:val="0"/>
                    <w:autoSpaceDN w:val="0"/>
                    <w:adjustRightInd w:val="0"/>
                    <w:spacing w:after="0" w:line="240" w:lineRule="auto"/>
                    <w:jc w:val="right"/>
                    <w:rPr>
                      <w:rFonts w:ascii="Times New Roman" w:hAnsi="Times New Roman" w:cs="Times New Roman"/>
                      <w:b/>
                      <w:bCs/>
                      <w:color w:val="000000"/>
                      <w:sz w:val="24"/>
                      <w:szCs w:val="24"/>
                    </w:rPr>
                  </w:pPr>
                  <w:r>
                    <w:rPr>
                      <w:rFonts w:ascii="Times New Roman" w:hAnsi="Times New Roman" w:cs="Times New Roman"/>
                      <w:b/>
                      <w:bCs/>
                      <w:color w:val="000000"/>
                      <w:sz w:val="24"/>
                      <w:szCs w:val="24"/>
                    </w:rPr>
                    <w:t>Праг на преминаване</w:t>
                  </w:r>
                </w:p>
              </w:tc>
              <w:tc>
                <w:tcPr>
                  <w:tcW w:w="4536" w:type="dxa"/>
                  <w:tcBorders>
                    <w:top w:val="single" w:sz="6" w:space="0" w:color="auto"/>
                    <w:left w:val="single" w:sz="6" w:space="0" w:color="auto"/>
                    <w:bottom w:val="single" w:sz="4" w:space="0" w:color="auto"/>
                    <w:right w:val="single" w:sz="6" w:space="0" w:color="auto"/>
                  </w:tcBorders>
                  <w:shd w:val="solid" w:color="C0C0C0" w:fill="auto"/>
                </w:tcPr>
                <w:p w14:paraId="010E6AC3" w14:textId="4DDCD646" w:rsidR="00B63893" w:rsidRDefault="00A32428" w:rsidP="00B63893">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3</w:t>
                  </w:r>
                  <w:r w:rsidR="00DA749A">
                    <w:rPr>
                      <w:rFonts w:ascii="Times New Roman" w:hAnsi="Times New Roman" w:cs="Times New Roman"/>
                      <w:b/>
                      <w:bCs/>
                      <w:color w:val="000000"/>
                      <w:sz w:val="24"/>
                      <w:szCs w:val="24"/>
                    </w:rPr>
                    <w:t>0</w:t>
                  </w:r>
                </w:p>
              </w:tc>
            </w:tr>
          </w:tbl>
          <w:p w14:paraId="716E5443" w14:textId="77777777" w:rsidR="00F144F8" w:rsidRPr="00F144F8" w:rsidRDefault="00F144F8" w:rsidP="00F144F8">
            <w:pPr>
              <w:pStyle w:val="ListParagraph"/>
              <w:spacing w:before="120" w:after="120"/>
              <w:jc w:val="both"/>
              <w:rPr>
                <w:b/>
                <w:bCs/>
                <w:noProof/>
                <w:snapToGrid w:val="0"/>
                <w:sz w:val="24"/>
                <w:szCs w:val="24"/>
              </w:rPr>
            </w:pPr>
          </w:p>
          <w:p w14:paraId="6A5481FD" w14:textId="3F8A7C7B" w:rsidR="00164623" w:rsidRDefault="00F144F8" w:rsidP="00F144F8">
            <w:pPr>
              <w:pStyle w:val="ListParagraph"/>
              <w:numPr>
                <w:ilvl w:val="0"/>
                <w:numId w:val="21"/>
              </w:numPr>
              <w:spacing w:before="120" w:after="120"/>
              <w:jc w:val="both"/>
              <w:rPr>
                <w:b/>
                <w:bCs/>
                <w:noProof/>
                <w:snapToGrid w:val="0"/>
                <w:sz w:val="24"/>
                <w:szCs w:val="24"/>
              </w:rPr>
            </w:pPr>
            <w:r>
              <w:rPr>
                <w:b/>
                <w:bCs/>
                <w:noProof/>
                <w:snapToGrid w:val="0"/>
                <w:sz w:val="24"/>
                <w:szCs w:val="24"/>
              </w:rPr>
              <w:t>Съответствие с критерий за оценка 1 „</w:t>
            </w:r>
            <w:r w:rsidRPr="00F144F8">
              <w:rPr>
                <w:b/>
                <w:bCs/>
                <w:noProof/>
                <w:snapToGrid w:val="0"/>
                <w:sz w:val="24"/>
                <w:szCs w:val="24"/>
              </w:rPr>
              <w:t>Проекти, отговарящи на Приоритет 1 „Модернизирана базисна инфраструктура и качествена жизнена и околна среда“  на Общински план за развитие на общи</w:t>
            </w:r>
            <w:r>
              <w:rPr>
                <w:b/>
                <w:bCs/>
                <w:noProof/>
                <w:snapToGrid w:val="0"/>
                <w:sz w:val="24"/>
                <w:szCs w:val="24"/>
              </w:rPr>
              <w:t>на Поморие за периода 2014-2020 г.“</w:t>
            </w:r>
            <w:r w:rsidR="00C33EAD">
              <w:rPr>
                <w:b/>
                <w:bCs/>
                <w:noProof/>
                <w:snapToGrid w:val="0"/>
                <w:sz w:val="24"/>
                <w:szCs w:val="24"/>
              </w:rPr>
              <w:t xml:space="preserve">: </w:t>
            </w:r>
          </w:p>
          <w:p w14:paraId="6464C2B6" w14:textId="77777777" w:rsidR="00716FDA" w:rsidRDefault="00716FDA" w:rsidP="00716FDA">
            <w:pPr>
              <w:pStyle w:val="ListParagraph"/>
              <w:spacing w:before="120" w:after="120"/>
              <w:jc w:val="both"/>
              <w:rPr>
                <w:b/>
                <w:bCs/>
                <w:noProof/>
                <w:snapToGrid w:val="0"/>
                <w:sz w:val="24"/>
                <w:szCs w:val="24"/>
              </w:rPr>
            </w:pPr>
          </w:p>
          <w:p w14:paraId="25641DE2" w14:textId="6FE7C5C3" w:rsidR="00716FDA" w:rsidRDefault="00716FDA" w:rsidP="00716FDA">
            <w:pPr>
              <w:spacing w:before="120" w:after="120"/>
              <w:jc w:val="both"/>
              <w:rPr>
                <w:bCs/>
                <w:noProof/>
                <w:snapToGrid w:val="0"/>
                <w:sz w:val="24"/>
                <w:szCs w:val="24"/>
              </w:rPr>
            </w:pPr>
            <w:r w:rsidRPr="00716FDA">
              <w:rPr>
                <w:bCs/>
                <w:noProof/>
                <w:snapToGrid w:val="0"/>
                <w:sz w:val="24"/>
                <w:szCs w:val="24"/>
              </w:rPr>
              <w:t>Когато заявява съответствие с критерий за оценка 1: "Проекти, отговарящи на Приоритет 1 „Модернизирана базисна инфраструктура и качествена жизнена и околна среда“ на Общински план за развитие на община Поморие за периода 2014-2020г." кандидатът следва да опише в т.11 Допълнителна информация във Формуляра за кандидатстване по какъв начин проектното му предложение отговаря на Приоритет 1 „Модернизирана базисна инфраструктура и качествена жизнена и околна среда“ на Общински план за развитие на община Поморие за периода 2014-2020г.</w:t>
            </w:r>
            <w:r>
              <w:rPr>
                <w:bCs/>
                <w:noProof/>
                <w:snapToGrid w:val="0"/>
                <w:sz w:val="24"/>
                <w:szCs w:val="24"/>
              </w:rPr>
              <w:t xml:space="preserve"> </w:t>
            </w:r>
          </w:p>
          <w:p w14:paraId="2F309D06" w14:textId="4F561CB3" w:rsidR="003405B9" w:rsidRPr="00716FDA" w:rsidRDefault="003405B9" w:rsidP="00716FDA">
            <w:pPr>
              <w:spacing w:before="120" w:after="120"/>
              <w:jc w:val="both"/>
              <w:rPr>
                <w:bCs/>
                <w:noProof/>
                <w:snapToGrid w:val="0"/>
                <w:sz w:val="24"/>
                <w:szCs w:val="24"/>
              </w:rPr>
            </w:pPr>
            <w:r>
              <w:rPr>
                <w:bCs/>
                <w:noProof/>
                <w:snapToGrid w:val="0"/>
                <w:sz w:val="24"/>
                <w:szCs w:val="24"/>
              </w:rPr>
              <w:t xml:space="preserve">Съответния брой точки се получава кандидат, чието проектното предложение отговаря на </w:t>
            </w:r>
            <w:r w:rsidRPr="003405B9">
              <w:rPr>
                <w:bCs/>
                <w:noProof/>
                <w:snapToGrid w:val="0"/>
                <w:sz w:val="24"/>
                <w:szCs w:val="24"/>
              </w:rPr>
              <w:t>Приоритет 1 „Модернизирана базисна инфраструктура и качествена жизнена и околна среда“ на Общински план за развитие на община Поморие за периода 2014-2020г.</w:t>
            </w:r>
          </w:p>
          <w:p w14:paraId="0DCB7B2B" w14:textId="7958A9CF" w:rsidR="00F144F8" w:rsidRDefault="00F144F8" w:rsidP="00F144F8">
            <w:pPr>
              <w:spacing w:before="120" w:after="120"/>
              <w:jc w:val="both"/>
              <w:rPr>
                <w:bCs/>
                <w:noProof/>
                <w:snapToGrid w:val="0"/>
                <w:sz w:val="24"/>
                <w:szCs w:val="24"/>
              </w:rPr>
            </w:pPr>
            <w:r w:rsidRPr="00F144F8">
              <w:rPr>
                <w:bCs/>
                <w:noProof/>
                <w:snapToGrid w:val="0"/>
                <w:sz w:val="24"/>
                <w:szCs w:val="24"/>
              </w:rPr>
              <w:t xml:space="preserve">Приоритетът има за цел развитие и модернизация на елементите на базисната инфраструктура, с оглед подобряване на свързаността и достъпността до основните услуги за населението, осигуряване на екологосъобразна жизнена среда и привличане на инвестиции. Модерната базисна инфраструктура е предпоставка за осигуряване на качествена жизнена и околна среда, за увеличаване конкурентоспособността на общината, </w:t>
            </w:r>
            <w:r w:rsidRPr="00F144F8">
              <w:rPr>
                <w:bCs/>
                <w:noProof/>
                <w:snapToGrid w:val="0"/>
                <w:sz w:val="24"/>
                <w:szCs w:val="24"/>
              </w:rPr>
              <w:lastRenderedPageBreak/>
              <w:t>генериране на растеж и заетост, което ще допринесе и за постигане целите на Стратегия „Европа 2020” на национално ниво.</w:t>
            </w:r>
            <w:r w:rsidR="009B347E">
              <w:rPr>
                <w:bCs/>
                <w:noProof/>
                <w:snapToGrid w:val="0"/>
                <w:sz w:val="24"/>
                <w:szCs w:val="24"/>
              </w:rPr>
              <w:t xml:space="preserve"> </w:t>
            </w:r>
          </w:p>
          <w:p w14:paraId="63F5CFDC" w14:textId="77777777" w:rsidR="00031639" w:rsidRDefault="00031639" w:rsidP="00F144F8">
            <w:pPr>
              <w:spacing w:before="120" w:after="120"/>
              <w:jc w:val="both"/>
              <w:rPr>
                <w:bCs/>
                <w:noProof/>
                <w:snapToGrid w:val="0"/>
                <w:sz w:val="24"/>
                <w:szCs w:val="24"/>
              </w:rPr>
            </w:pPr>
          </w:p>
          <w:p w14:paraId="5240DF43" w14:textId="18D84C2B" w:rsidR="00F144F8" w:rsidRPr="00F144F8" w:rsidRDefault="00F144F8" w:rsidP="00F144F8">
            <w:pPr>
              <w:pStyle w:val="ListParagraph"/>
              <w:numPr>
                <w:ilvl w:val="0"/>
                <w:numId w:val="21"/>
              </w:numPr>
              <w:spacing w:before="120" w:after="120"/>
              <w:jc w:val="both"/>
              <w:rPr>
                <w:b/>
                <w:bCs/>
                <w:noProof/>
                <w:snapToGrid w:val="0"/>
                <w:sz w:val="24"/>
                <w:szCs w:val="24"/>
              </w:rPr>
            </w:pPr>
            <w:r w:rsidRPr="00F144F8">
              <w:rPr>
                <w:b/>
                <w:bCs/>
                <w:noProof/>
                <w:snapToGrid w:val="0"/>
                <w:sz w:val="24"/>
                <w:szCs w:val="24"/>
              </w:rPr>
              <w:t>Съответствие с критерий за оценка 3 „Брой население, което ще се възползва от подобрените основни услуги, и обхвата на  териориално въздействие“:</w:t>
            </w:r>
          </w:p>
          <w:p w14:paraId="191C2E6B" w14:textId="087A8C53" w:rsidR="0089690E" w:rsidRDefault="0089690E" w:rsidP="00F144F8">
            <w:pPr>
              <w:spacing w:before="120" w:after="120"/>
              <w:jc w:val="both"/>
              <w:rPr>
                <w:bCs/>
                <w:noProof/>
                <w:snapToGrid w:val="0"/>
                <w:sz w:val="24"/>
                <w:szCs w:val="24"/>
              </w:rPr>
            </w:pPr>
            <w:r>
              <w:rPr>
                <w:bCs/>
                <w:noProof/>
                <w:snapToGrid w:val="0"/>
                <w:sz w:val="24"/>
                <w:szCs w:val="24"/>
              </w:rPr>
              <w:t>За доказване на съответствие с критерий за оценка 3 кандидатът следва да представи следните документи (ако е приложимо):</w:t>
            </w:r>
          </w:p>
          <w:p w14:paraId="47A2AAE2" w14:textId="77777777" w:rsidR="0089690E" w:rsidRPr="0089690E" w:rsidRDefault="0089690E" w:rsidP="0089690E">
            <w:pPr>
              <w:spacing w:before="120" w:after="120"/>
              <w:jc w:val="both"/>
              <w:rPr>
                <w:bCs/>
                <w:noProof/>
                <w:snapToGrid w:val="0"/>
                <w:sz w:val="24"/>
                <w:szCs w:val="24"/>
              </w:rPr>
            </w:pPr>
            <w:r w:rsidRPr="0089690E">
              <w:rPr>
                <w:bCs/>
                <w:noProof/>
                <w:snapToGrid w:val="0"/>
                <w:sz w:val="24"/>
                <w:szCs w:val="24"/>
              </w:rPr>
              <w:t>1.</w:t>
            </w:r>
            <w:r w:rsidRPr="0089690E">
              <w:rPr>
                <w:bCs/>
                <w:noProof/>
                <w:snapToGrid w:val="0"/>
                <w:sz w:val="24"/>
                <w:szCs w:val="24"/>
              </w:rPr>
              <w:tab/>
              <w:t>Справка за населението в населеното място/места, разположени на територията на община Поморие (по последни данни на Националния статистически институт) където ще се изпълняват инвестициите по проекта, в съответствие с критерий за подбор 3“Брой население, което ще се възползва от подобрените основни услуги, и обхвата на  териториално въздействие”. Представя се във формат „pdf“.</w:t>
            </w:r>
          </w:p>
          <w:p w14:paraId="468288DA" w14:textId="3D2F90CB" w:rsidR="0089690E" w:rsidRPr="0089690E" w:rsidRDefault="0089690E" w:rsidP="0089690E">
            <w:pPr>
              <w:spacing w:before="120" w:after="120"/>
              <w:jc w:val="both"/>
              <w:rPr>
                <w:bCs/>
                <w:noProof/>
                <w:snapToGrid w:val="0"/>
                <w:sz w:val="24"/>
                <w:szCs w:val="24"/>
              </w:rPr>
            </w:pPr>
            <w:r w:rsidRPr="0089690E">
              <w:rPr>
                <w:bCs/>
                <w:noProof/>
                <w:snapToGrid w:val="0"/>
                <w:sz w:val="24"/>
                <w:szCs w:val="24"/>
              </w:rPr>
              <w:t>2.</w:t>
            </w:r>
            <w:r w:rsidRPr="0089690E">
              <w:rPr>
                <w:bCs/>
                <w:noProof/>
                <w:snapToGrid w:val="0"/>
                <w:sz w:val="24"/>
                <w:szCs w:val="24"/>
              </w:rPr>
              <w:tab/>
              <w:t xml:space="preserve">Справка за съществуващия и нает от кандидата персонал към края на предходната спрямо кандидатстването календарна година и за последния отчетен период за фирми/организации, създадени през текущата стопанска година (ако е приложимо). Справката се представя, когато кандидатът заявява съответствие с критерий за подбор 4 “Проекти, създаващи работни места при изпълнение на допустимите дейности”. Представя се във формат „pdf“. (неприложимо за общини). Общините </w:t>
            </w:r>
            <w:r w:rsidR="00F17860">
              <w:rPr>
                <w:bCs/>
                <w:noProof/>
                <w:snapToGrid w:val="0"/>
                <w:sz w:val="24"/>
                <w:szCs w:val="24"/>
              </w:rPr>
              <w:t>описват</w:t>
            </w:r>
            <w:r w:rsidRPr="0089690E">
              <w:rPr>
                <w:bCs/>
                <w:noProof/>
                <w:snapToGrid w:val="0"/>
                <w:sz w:val="24"/>
                <w:szCs w:val="24"/>
              </w:rPr>
              <w:t xml:space="preserve"> съответствие с данните, въведени в Формуля</w:t>
            </w:r>
            <w:r w:rsidR="00053A39">
              <w:rPr>
                <w:bCs/>
                <w:noProof/>
                <w:snapToGrid w:val="0"/>
                <w:sz w:val="24"/>
                <w:szCs w:val="24"/>
              </w:rPr>
              <w:t>ра за мониторинг (Приложение № 4</w:t>
            </w:r>
            <w:r w:rsidRPr="0089690E">
              <w:rPr>
                <w:bCs/>
                <w:noProof/>
                <w:snapToGrid w:val="0"/>
                <w:sz w:val="24"/>
                <w:szCs w:val="24"/>
              </w:rPr>
              <w:t>, т.3).</w:t>
            </w:r>
          </w:p>
          <w:p w14:paraId="624439E7" w14:textId="7B5D28B5" w:rsidR="00DB4649" w:rsidRDefault="0089690E" w:rsidP="0089690E">
            <w:pPr>
              <w:spacing w:before="120" w:after="120"/>
              <w:jc w:val="both"/>
              <w:rPr>
                <w:bCs/>
                <w:noProof/>
                <w:snapToGrid w:val="0"/>
                <w:sz w:val="24"/>
                <w:szCs w:val="24"/>
              </w:rPr>
            </w:pPr>
            <w:r w:rsidRPr="0089690E">
              <w:rPr>
                <w:bCs/>
                <w:noProof/>
                <w:snapToGrid w:val="0"/>
                <w:sz w:val="24"/>
                <w:szCs w:val="24"/>
              </w:rPr>
              <w:t>3.</w:t>
            </w:r>
            <w:r w:rsidRPr="0089690E">
              <w:rPr>
                <w:bCs/>
                <w:noProof/>
                <w:snapToGrid w:val="0"/>
                <w:sz w:val="24"/>
                <w:szCs w:val="24"/>
              </w:rPr>
              <w:tab/>
              <w:t>Отчет за заетите лица, средствата за работна заплата и други разходи за труд за предходната спрямо кандидатстването календарна година, заверена от кандидата и НСИ. Представя се, в случай че кандидатът заявява съответствие с критерий за подбор 4 “Проекти, създаващи работни места при изпълнение на допустимите дейности”. Представя се във формат „pdf“. (неприложи</w:t>
            </w:r>
            <w:r>
              <w:rPr>
                <w:bCs/>
                <w:noProof/>
                <w:snapToGrid w:val="0"/>
                <w:sz w:val="24"/>
                <w:szCs w:val="24"/>
              </w:rPr>
              <w:t>мо за общини). Общините описват</w:t>
            </w:r>
            <w:r w:rsidRPr="0089690E">
              <w:rPr>
                <w:bCs/>
                <w:noProof/>
                <w:snapToGrid w:val="0"/>
                <w:sz w:val="24"/>
                <w:szCs w:val="24"/>
              </w:rPr>
              <w:t xml:space="preserve"> съответствие с данните, въведени в Формуляра за мониторинг (Приложение № </w:t>
            </w:r>
            <w:r w:rsidR="00053A39">
              <w:rPr>
                <w:bCs/>
                <w:noProof/>
                <w:snapToGrid w:val="0"/>
                <w:sz w:val="24"/>
                <w:szCs w:val="24"/>
              </w:rPr>
              <w:t>4</w:t>
            </w:r>
            <w:r w:rsidRPr="0089690E">
              <w:rPr>
                <w:bCs/>
                <w:noProof/>
                <w:snapToGrid w:val="0"/>
                <w:sz w:val="24"/>
                <w:szCs w:val="24"/>
              </w:rPr>
              <w:t>, т.3).</w:t>
            </w:r>
          </w:p>
          <w:p w14:paraId="37DAE46F" w14:textId="77777777" w:rsidR="006D3E9A" w:rsidRPr="0011499C" w:rsidRDefault="006D3E9A" w:rsidP="006D3E9A">
            <w:pPr>
              <w:spacing w:before="120" w:after="120"/>
              <w:jc w:val="both"/>
              <w:rPr>
                <w:b/>
                <w:bCs/>
                <w:noProof/>
                <w:snapToGrid w:val="0"/>
                <w:sz w:val="24"/>
                <w:szCs w:val="24"/>
              </w:rPr>
            </w:pPr>
            <w:r w:rsidRPr="0011499C">
              <w:rPr>
                <w:b/>
                <w:bCs/>
                <w:noProof/>
                <w:snapToGrid w:val="0"/>
                <w:sz w:val="24"/>
                <w:szCs w:val="24"/>
              </w:rPr>
              <w:t>По дейност: Строителство, реконструкция и/или рехабилитация на нови и съществуващи общински пътища, улици, тротоари, и съоръженията и принадлежностите към тях</w:t>
            </w:r>
          </w:p>
          <w:p w14:paraId="637A4B97" w14:textId="77777777" w:rsidR="006D3E9A" w:rsidRPr="006D3E9A" w:rsidRDefault="006D3E9A" w:rsidP="006D3E9A">
            <w:pPr>
              <w:spacing w:before="120" w:after="120"/>
              <w:jc w:val="both"/>
              <w:rPr>
                <w:bCs/>
                <w:noProof/>
                <w:snapToGrid w:val="0"/>
                <w:sz w:val="24"/>
                <w:szCs w:val="24"/>
              </w:rPr>
            </w:pPr>
            <w:r w:rsidRPr="006D3E9A">
              <w:rPr>
                <w:bCs/>
                <w:noProof/>
                <w:snapToGrid w:val="0"/>
                <w:sz w:val="24"/>
                <w:szCs w:val="24"/>
              </w:rPr>
              <w:t>Точките по този критерий се определят като:</w:t>
            </w:r>
          </w:p>
          <w:p w14:paraId="65B2D4D1" w14:textId="77777777" w:rsidR="006D3E9A" w:rsidRPr="006D3E9A" w:rsidRDefault="006D3E9A" w:rsidP="006D3E9A">
            <w:pPr>
              <w:spacing w:before="120" w:after="120"/>
              <w:jc w:val="both"/>
              <w:rPr>
                <w:bCs/>
                <w:noProof/>
                <w:snapToGrid w:val="0"/>
                <w:sz w:val="24"/>
                <w:szCs w:val="24"/>
              </w:rPr>
            </w:pPr>
            <w:r w:rsidRPr="006D3E9A">
              <w:rPr>
                <w:bCs/>
                <w:noProof/>
                <w:snapToGrid w:val="0"/>
                <w:sz w:val="24"/>
                <w:szCs w:val="24"/>
              </w:rPr>
              <w:t>-      се отчете сборът на реконструираните улици в рамките на едно населено място, независимо от това дали има директна свързаност между реконструираните участъци. Населението на населено място с най-висок сбор се взима предвид при определяне на точките по този критерий;</w:t>
            </w:r>
          </w:p>
          <w:p w14:paraId="189B4486" w14:textId="77777777" w:rsidR="006D3E9A" w:rsidRPr="006D3E9A" w:rsidRDefault="006D3E9A" w:rsidP="006D3E9A">
            <w:pPr>
              <w:spacing w:before="120" w:after="120"/>
              <w:jc w:val="both"/>
              <w:rPr>
                <w:bCs/>
                <w:noProof/>
                <w:snapToGrid w:val="0"/>
                <w:sz w:val="24"/>
                <w:szCs w:val="24"/>
              </w:rPr>
            </w:pPr>
            <w:r w:rsidRPr="006D3E9A">
              <w:rPr>
                <w:bCs/>
                <w:noProof/>
                <w:snapToGrid w:val="0"/>
                <w:sz w:val="24"/>
                <w:szCs w:val="24"/>
              </w:rPr>
              <w:t xml:space="preserve">-  се отчете броят на населението на населеното място/населените места, обслужвани от най-дългата реконструирана/рехабилитирана пътна отсечка, измерена в мерна единица за </w:t>
            </w:r>
            <w:r w:rsidRPr="006D3E9A">
              <w:rPr>
                <w:bCs/>
                <w:noProof/>
                <w:snapToGrid w:val="0"/>
                <w:sz w:val="24"/>
                <w:szCs w:val="24"/>
              </w:rPr>
              <w:lastRenderedPageBreak/>
              <w:t>дължина (м., км.) от съответния общински път, включен в Решение № 236 от 13 април 2007 г. на Министерския съвет за утвърждаване списък на общинските пътища.</w:t>
            </w:r>
          </w:p>
          <w:p w14:paraId="75863B34" w14:textId="035D557B" w:rsidR="006D3E9A" w:rsidRDefault="006D3E9A" w:rsidP="0089690E">
            <w:pPr>
              <w:spacing w:before="120" w:after="120"/>
              <w:jc w:val="both"/>
              <w:rPr>
                <w:bCs/>
                <w:noProof/>
                <w:snapToGrid w:val="0"/>
                <w:sz w:val="24"/>
                <w:szCs w:val="24"/>
              </w:rPr>
            </w:pPr>
            <w:r w:rsidRPr="006D3E9A">
              <w:rPr>
                <w:bCs/>
                <w:noProof/>
                <w:snapToGrid w:val="0"/>
                <w:sz w:val="24"/>
                <w:szCs w:val="24"/>
              </w:rPr>
              <w:t>Когато заявява съответствие с критерий за оценка 3 „Брой население, което ще се възползва от подобрените основни услуги и обхвата на териториално въздействие“ в т. 11. Допълнителна информация във Формуляра за кандидатстване кандидатът следва да опише в кои населени места ще се реализират дейностите по проекта, както и населението в тях към по последни данни на НСИ. Кандидатът следва да представи информация за броя на населението, което ще се възползва от подобрените основни услуги и обхвата на териториално въздействие.</w:t>
            </w:r>
          </w:p>
          <w:p w14:paraId="04ECDC48" w14:textId="27C5A53C" w:rsidR="00F144F8" w:rsidRDefault="00CF56AF" w:rsidP="00CC3131">
            <w:pPr>
              <w:spacing w:before="120" w:after="120"/>
              <w:jc w:val="both"/>
              <w:rPr>
                <w:b/>
                <w:bCs/>
                <w:noProof/>
                <w:snapToGrid w:val="0"/>
                <w:sz w:val="24"/>
                <w:szCs w:val="24"/>
              </w:rPr>
            </w:pPr>
            <w:r>
              <w:rPr>
                <w:bCs/>
                <w:noProof/>
                <w:snapToGrid w:val="0"/>
                <w:sz w:val="24"/>
                <w:szCs w:val="24"/>
              </w:rPr>
              <w:t xml:space="preserve">       </w:t>
            </w:r>
            <w:r w:rsidR="00EB592B">
              <w:rPr>
                <w:b/>
                <w:bCs/>
                <w:noProof/>
                <w:snapToGrid w:val="0"/>
                <w:sz w:val="24"/>
                <w:szCs w:val="24"/>
              </w:rPr>
              <w:t xml:space="preserve">3. </w:t>
            </w:r>
            <w:r w:rsidRPr="00CF56AF">
              <w:rPr>
                <w:b/>
                <w:bCs/>
                <w:noProof/>
                <w:snapToGrid w:val="0"/>
                <w:sz w:val="24"/>
                <w:szCs w:val="24"/>
              </w:rPr>
              <w:t>Съответствие с критерий за оценка 4 „Проекти, създаващи работни места при изпълнение на допустимите дейности“:</w:t>
            </w:r>
          </w:p>
          <w:p w14:paraId="6CACA815" w14:textId="5CFE085A" w:rsidR="00EB592B" w:rsidRDefault="00164623" w:rsidP="00EB592B">
            <w:pPr>
              <w:spacing w:before="120" w:after="120"/>
              <w:jc w:val="both"/>
              <w:rPr>
                <w:bCs/>
                <w:noProof/>
                <w:snapToGrid w:val="0"/>
                <w:sz w:val="24"/>
                <w:szCs w:val="24"/>
              </w:rPr>
            </w:pPr>
            <w:r w:rsidRPr="00EB592B">
              <w:rPr>
                <w:bCs/>
                <w:noProof/>
                <w:snapToGrid w:val="0"/>
                <w:sz w:val="24"/>
                <w:szCs w:val="24"/>
              </w:rPr>
              <w:t>По критерий за оценка 4 съответния брой точки получават проекти, при които изпълнението на одобрените инвестиции и дейности водят до осигуряване на допълнителна заетост като съответния брой допълнителни работни места на трудово правоотношение за реализация на дейностите по проекта се вземат от т.3 от Формул</w:t>
            </w:r>
            <w:r w:rsidR="00056238" w:rsidRPr="00EB592B">
              <w:rPr>
                <w:bCs/>
                <w:noProof/>
                <w:snapToGrid w:val="0"/>
                <w:sz w:val="24"/>
                <w:szCs w:val="24"/>
              </w:rPr>
              <w:t>яра за мониторинг (Приложение</w:t>
            </w:r>
            <w:r w:rsidR="0088474D">
              <w:rPr>
                <w:bCs/>
                <w:noProof/>
                <w:snapToGrid w:val="0"/>
                <w:sz w:val="24"/>
                <w:szCs w:val="24"/>
              </w:rPr>
              <w:t xml:space="preserve"> №</w:t>
            </w:r>
            <w:r w:rsidR="000A6535">
              <w:rPr>
                <w:bCs/>
                <w:noProof/>
                <w:snapToGrid w:val="0"/>
                <w:sz w:val="24"/>
                <w:szCs w:val="24"/>
              </w:rPr>
              <w:t xml:space="preserve"> 4</w:t>
            </w:r>
            <w:r w:rsidR="00036400" w:rsidRPr="00EB592B">
              <w:rPr>
                <w:bCs/>
                <w:noProof/>
                <w:snapToGrid w:val="0"/>
                <w:sz w:val="24"/>
                <w:szCs w:val="24"/>
              </w:rPr>
              <w:t xml:space="preserve"> към Условията за кандидатстване</w:t>
            </w:r>
            <w:r w:rsidRPr="00EB592B">
              <w:rPr>
                <w:bCs/>
                <w:noProof/>
                <w:snapToGrid w:val="0"/>
                <w:sz w:val="24"/>
                <w:szCs w:val="24"/>
              </w:rPr>
              <w:t>).</w:t>
            </w:r>
          </w:p>
          <w:p w14:paraId="66FD75D0" w14:textId="7F13703C" w:rsidR="00EB592B" w:rsidRPr="00EB592B" w:rsidRDefault="00EB592B" w:rsidP="00EB592B">
            <w:pPr>
              <w:spacing w:before="120" w:after="120"/>
              <w:jc w:val="both"/>
              <w:rPr>
                <w:b/>
                <w:bCs/>
                <w:noProof/>
                <w:snapToGrid w:val="0"/>
                <w:sz w:val="24"/>
                <w:szCs w:val="24"/>
              </w:rPr>
            </w:pPr>
            <w:r w:rsidRPr="00EB592B">
              <w:rPr>
                <w:b/>
                <w:bCs/>
                <w:noProof/>
                <w:snapToGrid w:val="0"/>
                <w:sz w:val="24"/>
                <w:szCs w:val="24"/>
              </w:rPr>
              <w:t xml:space="preserve">        4.Съответствие с критерий за оценка 6 „Проекти, осигуряващи подобряване на околната среда и постигащи екологичен ефект и въздействие“:</w:t>
            </w:r>
          </w:p>
          <w:p w14:paraId="68DD635D" w14:textId="2E0CE7E0" w:rsidR="00576D82" w:rsidRPr="00EB592B" w:rsidRDefault="00A41E32" w:rsidP="00576D82">
            <w:pPr>
              <w:spacing w:before="120" w:after="120"/>
              <w:jc w:val="both"/>
              <w:rPr>
                <w:bCs/>
                <w:noProof/>
                <w:snapToGrid w:val="0"/>
                <w:sz w:val="24"/>
                <w:szCs w:val="24"/>
              </w:rPr>
            </w:pPr>
            <w:r w:rsidRPr="00EB592B">
              <w:rPr>
                <w:bCs/>
                <w:noProof/>
                <w:snapToGrid w:val="0"/>
                <w:sz w:val="24"/>
                <w:szCs w:val="24"/>
              </w:rPr>
              <w:t>Когато кандидатът заявява съответствие с критерий за подбор 6</w:t>
            </w:r>
            <w:r w:rsidR="000023B4" w:rsidRPr="00EB592B">
              <w:t xml:space="preserve"> „</w:t>
            </w:r>
            <w:r w:rsidR="000023B4" w:rsidRPr="00EB592B">
              <w:rPr>
                <w:bCs/>
                <w:noProof/>
                <w:snapToGrid w:val="0"/>
                <w:sz w:val="24"/>
                <w:szCs w:val="24"/>
              </w:rPr>
              <w:t>Проекти, осигуряващи подобряване на околната среда и постигащи екологичен ефект и въздействие“</w:t>
            </w:r>
            <w:r w:rsidRPr="00EB592B">
              <w:rPr>
                <w:bCs/>
                <w:noProof/>
                <w:snapToGrid w:val="0"/>
                <w:sz w:val="24"/>
                <w:szCs w:val="24"/>
              </w:rPr>
              <w:t>, к</w:t>
            </w:r>
            <w:r w:rsidR="00576D82" w:rsidRPr="00EB592B">
              <w:rPr>
                <w:sz w:val="24"/>
                <w:szCs w:val="24"/>
              </w:rPr>
              <w:t xml:space="preserve">ритерият се смята за изпълнен, ако е представен един от следните документи, доказващи съответствие с условието: </w:t>
            </w:r>
          </w:p>
          <w:p w14:paraId="176254F7" w14:textId="2C3DFBFD" w:rsidR="00576D82" w:rsidRPr="000E23D5" w:rsidRDefault="00576D82" w:rsidP="00576D82">
            <w:pPr>
              <w:spacing w:line="276" w:lineRule="auto"/>
              <w:jc w:val="both"/>
              <w:rPr>
                <w:sz w:val="24"/>
                <w:szCs w:val="24"/>
              </w:rPr>
            </w:pPr>
            <w:r w:rsidRPr="000E23D5">
              <w:rPr>
                <w:sz w:val="24"/>
                <w:szCs w:val="24"/>
              </w:rPr>
              <w:t>- Анализ</w:t>
            </w:r>
            <w:r w:rsidR="00A41E32" w:rsidRPr="000E23D5">
              <w:rPr>
                <w:sz w:val="24"/>
                <w:szCs w:val="24"/>
              </w:rPr>
              <w:t xml:space="preserve"> или обосновка</w:t>
            </w:r>
            <w:r w:rsidRPr="000E23D5">
              <w:rPr>
                <w:sz w:val="24"/>
                <w:szCs w:val="24"/>
              </w:rPr>
              <w:t>, удостоверяващ</w:t>
            </w:r>
            <w:r w:rsidR="00A41E32" w:rsidRPr="000E23D5">
              <w:rPr>
                <w:sz w:val="24"/>
                <w:szCs w:val="24"/>
              </w:rPr>
              <w:t>и</w:t>
            </w:r>
            <w:r w:rsidRPr="000E23D5">
              <w:rPr>
                <w:sz w:val="24"/>
                <w:szCs w:val="24"/>
              </w:rPr>
              <w:t xml:space="preserve"> </w:t>
            </w:r>
            <w:r w:rsidR="00A41E32" w:rsidRPr="000E23D5">
              <w:rPr>
                <w:sz w:val="24"/>
                <w:szCs w:val="24"/>
              </w:rPr>
              <w:t>подобряване на околната среда и постигащи екологичен ефект и въздействие</w:t>
            </w:r>
            <w:r w:rsidRPr="000E23D5">
              <w:rPr>
                <w:sz w:val="24"/>
                <w:szCs w:val="24"/>
              </w:rPr>
              <w:t>, изготвен и съгласуван от правоспособно лице с ком</w:t>
            </w:r>
            <w:r w:rsidR="006D53C7" w:rsidRPr="000E23D5">
              <w:rPr>
                <w:sz w:val="24"/>
                <w:szCs w:val="24"/>
              </w:rPr>
              <w:t>петентност в съответната област;</w:t>
            </w:r>
          </w:p>
          <w:p w14:paraId="5BC0901C" w14:textId="2A5AD1F7" w:rsidR="00D25486" w:rsidRPr="000E23D5" w:rsidRDefault="00576D82" w:rsidP="00CC3131">
            <w:pPr>
              <w:spacing w:before="120" w:after="120"/>
              <w:jc w:val="both"/>
              <w:rPr>
                <w:bCs/>
                <w:noProof/>
                <w:snapToGrid w:val="0"/>
                <w:sz w:val="24"/>
                <w:szCs w:val="24"/>
              </w:rPr>
            </w:pPr>
            <w:r w:rsidRPr="000E23D5">
              <w:rPr>
                <w:sz w:val="24"/>
                <w:szCs w:val="24"/>
              </w:rPr>
              <w:t>-</w:t>
            </w:r>
            <w:r w:rsidR="00A41E32" w:rsidRPr="000E23D5">
              <w:rPr>
                <w:bCs/>
                <w:noProof/>
                <w:snapToGrid w:val="0"/>
                <w:sz w:val="24"/>
                <w:szCs w:val="24"/>
              </w:rPr>
              <w:t xml:space="preserve"> </w:t>
            </w:r>
            <w:r w:rsidR="002268D1" w:rsidRPr="000E23D5">
              <w:rPr>
                <w:bCs/>
                <w:noProof/>
                <w:snapToGrid w:val="0"/>
                <w:sz w:val="24"/>
                <w:szCs w:val="24"/>
              </w:rPr>
              <w:t xml:space="preserve"> </w:t>
            </w:r>
            <w:r w:rsidRPr="000E23D5">
              <w:rPr>
                <w:bCs/>
                <w:noProof/>
                <w:snapToGrid w:val="0"/>
                <w:sz w:val="24"/>
                <w:szCs w:val="24"/>
              </w:rPr>
              <w:t xml:space="preserve">Сертификат, удостоверение, становище и др., доказващи, че с проекта се прилага интегриран подход към околната среда чрез съхраняване и опазване на компонентите на околната среда и насърчаване на ресурсната ефективност, вкл. дейности за превенция и управление на риска, издадени от съответна институция или правоспособно лице.    </w:t>
            </w:r>
          </w:p>
          <w:p w14:paraId="6460B6F3" w14:textId="7FA64455" w:rsidR="00EB592B" w:rsidRPr="00EB592B" w:rsidRDefault="00EB592B" w:rsidP="00CC3131">
            <w:pPr>
              <w:spacing w:before="120" w:after="120"/>
              <w:jc w:val="both"/>
              <w:rPr>
                <w:b/>
                <w:bCs/>
                <w:noProof/>
                <w:snapToGrid w:val="0"/>
                <w:sz w:val="24"/>
                <w:szCs w:val="24"/>
              </w:rPr>
            </w:pPr>
            <w:r w:rsidRPr="00EB592B">
              <w:rPr>
                <w:b/>
                <w:bCs/>
                <w:noProof/>
                <w:snapToGrid w:val="0"/>
                <w:sz w:val="24"/>
                <w:szCs w:val="24"/>
              </w:rPr>
              <w:t xml:space="preserve">          5.Съответствие с критерий за оценка 7 „Проектът предвижда изграждане на достъпна инфраструктура за хора в неравностойно положение“:</w:t>
            </w:r>
          </w:p>
          <w:p w14:paraId="523DB114" w14:textId="0D65F70D" w:rsidR="00CC3131" w:rsidRDefault="00CC3131" w:rsidP="00CC3131">
            <w:pPr>
              <w:spacing w:before="120" w:after="120"/>
              <w:jc w:val="both"/>
              <w:rPr>
                <w:bCs/>
                <w:noProof/>
                <w:snapToGrid w:val="0"/>
                <w:sz w:val="24"/>
                <w:szCs w:val="24"/>
              </w:rPr>
            </w:pPr>
            <w:r w:rsidRPr="00EB592B">
              <w:rPr>
                <w:bCs/>
                <w:noProof/>
                <w:snapToGrid w:val="0"/>
                <w:sz w:val="24"/>
                <w:szCs w:val="24"/>
              </w:rPr>
              <w:t>Когато кандидатът заявява съответствие с критерий за подбор 7</w:t>
            </w:r>
            <w:r w:rsidR="000023B4" w:rsidRPr="00EB592B">
              <w:t xml:space="preserve"> „</w:t>
            </w:r>
            <w:r w:rsidR="000023B4" w:rsidRPr="00EB592B">
              <w:rPr>
                <w:bCs/>
                <w:noProof/>
                <w:snapToGrid w:val="0"/>
                <w:sz w:val="24"/>
                <w:szCs w:val="24"/>
              </w:rPr>
              <w:t>Проектът предвижда изграждане на достъпна инфраструктура за хора в неравностойно положение“</w:t>
            </w:r>
            <w:r w:rsidRPr="00EB592B">
              <w:rPr>
                <w:bCs/>
                <w:noProof/>
                <w:snapToGrid w:val="0"/>
                <w:sz w:val="24"/>
                <w:szCs w:val="24"/>
              </w:rPr>
              <w:t xml:space="preserve">, представеният работен / технически проект </w:t>
            </w:r>
            <w:r w:rsidR="00A41E32" w:rsidRPr="00EB592B">
              <w:rPr>
                <w:bCs/>
                <w:noProof/>
                <w:snapToGrid w:val="0"/>
                <w:sz w:val="24"/>
                <w:szCs w:val="24"/>
              </w:rPr>
              <w:t xml:space="preserve">следва да </w:t>
            </w:r>
            <w:r w:rsidRPr="00EB592B">
              <w:rPr>
                <w:bCs/>
                <w:noProof/>
                <w:snapToGrid w:val="0"/>
                <w:sz w:val="24"/>
                <w:szCs w:val="24"/>
              </w:rPr>
              <w:t xml:space="preserve">е изпълнен и </w:t>
            </w:r>
            <w:r w:rsidR="00A41E32" w:rsidRPr="00EB592B">
              <w:rPr>
                <w:bCs/>
                <w:noProof/>
                <w:snapToGrid w:val="0"/>
                <w:sz w:val="24"/>
                <w:szCs w:val="24"/>
              </w:rPr>
              <w:t xml:space="preserve">да </w:t>
            </w:r>
            <w:r w:rsidRPr="00EB592B">
              <w:rPr>
                <w:bCs/>
                <w:noProof/>
                <w:snapToGrid w:val="0"/>
                <w:sz w:val="24"/>
                <w:szCs w:val="24"/>
              </w:rPr>
              <w:t xml:space="preserve">отговаря на изискванията на  НАРЕДБА № 4 от 1 юли 2009 г. за проектиране, изпълнение и поддържане </w:t>
            </w:r>
            <w:r w:rsidRPr="00EB592B">
              <w:rPr>
                <w:bCs/>
                <w:noProof/>
                <w:snapToGrid w:val="0"/>
                <w:sz w:val="24"/>
                <w:szCs w:val="24"/>
              </w:rPr>
              <w:lastRenderedPageBreak/>
              <w:t>на строежите в съответствие с изискванията за достъпна среда за населението, включително за хората с увреждания.</w:t>
            </w:r>
            <w:r w:rsidR="00F24258">
              <w:rPr>
                <w:bCs/>
                <w:noProof/>
                <w:snapToGrid w:val="0"/>
                <w:sz w:val="24"/>
                <w:szCs w:val="24"/>
              </w:rPr>
              <w:t xml:space="preserve"> В т.11 Допълнителна информация във Формуляра за кандидатстване кандидатът следва да опише</w:t>
            </w:r>
            <w:r w:rsidR="00F24258" w:rsidRPr="00F24258">
              <w:rPr>
                <w:bCs/>
                <w:noProof/>
                <w:snapToGrid w:val="0"/>
                <w:sz w:val="24"/>
                <w:szCs w:val="24"/>
              </w:rPr>
              <w:t xml:space="preserve"> по какъв начин представеният работен / технически проект е изпълнен и отговаря на изискванията на НАРЕДБА № 4 от 1 юли 2009 г. </w:t>
            </w:r>
          </w:p>
          <w:p w14:paraId="614B18D8" w14:textId="77777777" w:rsidR="00570758" w:rsidRPr="00EB592B" w:rsidRDefault="00570758" w:rsidP="00CC3131">
            <w:pPr>
              <w:spacing w:before="120" w:after="120"/>
              <w:jc w:val="both"/>
              <w:rPr>
                <w:bCs/>
                <w:noProof/>
                <w:snapToGrid w:val="0"/>
                <w:sz w:val="24"/>
                <w:szCs w:val="24"/>
              </w:rPr>
            </w:pPr>
          </w:p>
          <w:p w14:paraId="1CE2BEB1" w14:textId="41BA4745" w:rsidR="00971569" w:rsidRDefault="00971569" w:rsidP="00CC3131">
            <w:pPr>
              <w:spacing w:before="120" w:after="120"/>
              <w:jc w:val="both"/>
              <w:rPr>
                <w:b/>
                <w:bCs/>
                <w:noProof/>
                <w:snapToGrid w:val="0"/>
                <w:sz w:val="24"/>
                <w:szCs w:val="24"/>
              </w:rPr>
            </w:pPr>
            <w:r>
              <w:rPr>
                <w:b/>
                <w:bCs/>
                <w:noProof/>
                <w:snapToGrid w:val="0"/>
                <w:sz w:val="24"/>
                <w:szCs w:val="24"/>
              </w:rPr>
              <w:t>ВАЖНО!</w:t>
            </w:r>
          </w:p>
          <w:p w14:paraId="04DFBC65" w14:textId="77777777" w:rsidR="00971569" w:rsidRPr="00971569" w:rsidRDefault="00971569" w:rsidP="00971569">
            <w:pPr>
              <w:spacing w:before="120" w:after="120"/>
              <w:jc w:val="both"/>
              <w:rPr>
                <w:b/>
                <w:bCs/>
                <w:noProof/>
                <w:snapToGrid w:val="0"/>
                <w:sz w:val="24"/>
                <w:szCs w:val="24"/>
              </w:rPr>
            </w:pPr>
            <w:r w:rsidRPr="00971569">
              <w:rPr>
                <w:b/>
                <w:bCs/>
                <w:noProof/>
                <w:snapToGrid w:val="0"/>
                <w:sz w:val="24"/>
                <w:szCs w:val="24"/>
              </w:rPr>
              <w:t>В случай, че две или повече проектни предложения получат еднакъв общ брой точки по критериите за оценка и не е наличен финансов ресурс за финансирането им, тези проекти ще бъдат допълнително приоритизирани/класирани по следния начин:</w:t>
            </w:r>
          </w:p>
          <w:p w14:paraId="164B3294" w14:textId="77777777" w:rsidR="00971569" w:rsidRPr="00971569" w:rsidRDefault="00971569" w:rsidP="00971569">
            <w:pPr>
              <w:spacing w:before="120" w:after="120"/>
              <w:jc w:val="both"/>
              <w:rPr>
                <w:b/>
                <w:bCs/>
                <w:noProof/>
                <w:snapToGrid w:val="0"/>
                <w:sz w:val="24"/>
                <w:szCs w:val="24"/>
              </w:rPr>
            </w:pPr>
          </w:p>
          <w:p w14:paraId="5DE020F8" w14:textId="77777777" w:rsidR="00971569" w:rsidRPr="00971569" w:rsidRDefault="00971569" w:rsidP="00971569">
            <w:pPr>
              <w:spacing w:before="120" w:after="120"/>
              <w:jc w:val="both"/>
              <w:rPr>
                <w:b/>
                <w:bCs/>
                <w:noProof/>
                <w:snapToGrid w:val="0"/>
                <w:sz w:val="24"/>
                <w:szCs w:val="24"/>
              </w:rPr>
            </w:pPr>
            <w:r w:rsidRPr="00971569">
              <w:rPr>
                <w:b/>
                <w:bCs/>
                <w:noProof/>
                <w:snapToGrid w:val="0"/>
                <w:sz w:val="24"/>
                <w:szCs w:val="24"/>
              </w:rPr>
              <w:t>-</w:t>
            </w:r>
            <w:r w:rsidRPr="00971569">
              <w:rPr>
                <w:b/>
                <w:bCs/>
                <w:noProof/>
                <w:snapToGrid w:val="0"/>
                <w:sz w:val="24"/>
                <w:szCs w:val="24"/>
              </w:rPr>
              <w:tab/>
              <w:t>по-високи показатели за критерий 3. Брой население, което ще се възползва от подобрените основни услуги, и обхвата на  териториално въздействие;</w:t>
            </w:r>
          </w:p>
          <w:p w14:paraId="7A5DB5B0" w14:textId="77777777" w:rsidR="00971569" w:rsidRPr="00971569" w:rsidRDefault="00971569" w:rsidP="00971569">
            <w:pPr>
              <w:spacing w:before="120" w:after="120"/>
              <w:jc w:val="both"/>
              <w:rPr>
                <w:b/>
                <w:bCs/>
                <w:noProof/>
                <w:snapToGrid w:val="0"/>
                <w:sz w:val="24"/>
                <w:szCs w:val="24"/>
              </w:rPr>
            </w:pPr>
            <w:r w:rsidRPr="00971569">
              <w:rPr>
                <w:b/>
                <w:bCs/>
                <w:noProof/>
                <w:snapToGrid w:val="0"/>
                <w:sz w:val="24"/>
                <w:szCs w:val="24"/>
              </w:rPr>
              <w:t>-</w:t>
            </w:r>
            <w:r w:rsidRPr="00971569">
              <w:rPr>
                <w:b/>
                <w:bCs/>
                <w:noProof/>
                <w:snapToGrid w:val="0"/>
                <w:sz w:val="24"/>
                <w:szCs w:val="24"/>
              </w:rPr>
              <w:tab/>
              <w:t>по-високи показатели за критерий 2. Проекти с дейности в населени места извън общинския център</w:t>
            </w:r>
          </w:p>
          <w:p w14:paraId="411C20AE" w14:textId="78101AD8" w:rsidR="00971569" w:rsidRPr="00BE1BEE" w:rsidRDefault="00971569" w:rsidP="00971569">
            <w:pPr>
              <w:spacing w:before="120" w:after="120"/>
              <w:jc w:val="both"/>
              <w:rPr>
                <w:b/>
                <w:bCs/>
                <w:noProof/>
                <w:snapToGrid w:val="0"/>
                <w:sz w:val="24"/>
                <w:szCs w:val="24"/>
              </w:rPr>
            </w:pPr>
            <w:r w:rsidRPr="00971569">
              <w:rPr>
                <w:b/>
                <w:bCs/>
                <w:noProof/>
                <w:snapToGrid w:val="0"/>
                <w:sz w:val="24"/>
                <w:szCs w:val="24"/>
              </w:rPr>
              <w:t>-</w:t>
            </w:r>
            <w:r w:rsidRPr="00971569">
              <w:rPr>
                <w:b/>
                <w:bCs/>
                <w:noProof/>
                <w:snapToGrid w:val="0"/>
                <w:sz w:val="24"/>
                <w:szCs w:val="24"/>
              </w:rPr>
              <w:tab/>
              <w:t>по-високи показатели за критерий 4. Проекти, създаващи работни места при изпълнение на допустимите дейности.</w:t>
            </w:r>
          </w:p>
        </w:tc>
      </w:tr>
    </w:tbl>
    <w:p w14:paraId="004A1217" w14:textId="1BE965DF" w:rsidR="0006081F" w:rsidRPr="007713C1" w:rsidRDefault="00237BC8" w:rsidP="007570DC">
      <w:pPr>
        <w:pStyle w:val="Heading1"/>
      </w:pPr>
      <w:bookmarkStart w:id="71" w:name="_Toc445385615"/>
      <w:bookmarkStart w:id="72" w:name="_Toc534292228"/>
      <w:r>
        <w:lastRenderedPageBreak/>
        <w:t>2</w:t>
      </w:r>
      <w:r w:rsidR="00BE42E8">
        <w:t>3</w:t>
      </w:r>
      <w:r w:rsidR="00093CB8" w:rsidRPr="007713C1">
        <w:t>. Начин на подаване на проектните предложения:</w:t>
      </w:r>
      <w:bookmarkEnd w:id="71"/>
      <w:bookmarkEnd w:id="72"/>
    </w:p>
    <w:tbl>
      <w:tblPr>
        <w:tblStyle w:val="TableGrid"/>
        <w:tblW w:w="0" w:type="auto"/>
        <w:tblInd w:w="-147" w:type="dxa"/>
        <w:tblLook w:val="04A0" w:firstRow="1" w:lastRow="0" w:firstColumn="1" w:lastColumn="0" w:noHBand="0" w:noVBand="1"/>
      </w:tblPr>
      <w:tblGrid>
        <w:gridCol w:w="9493"/>
      </w:tblGrid>
      <w:tr w:rsidR="00093CB8" w:rsidRPr="007713C1" w14:paraId="3EB69163" w14:textId="77777777" w:rsidTr="00A251C2">
        <w:tc>
          <w:tcPr>
            <w:tcW w:w="9493" w:type="dxa"/>
          </w:tcPr>
          <w:p w14:paraId="3B2BF871" w14:textId="4B5C6787" w:rsidR="001333FF" w:rsidRPr="008E1F5A" w:rsidRDefault="00ED52D4" w:rsidP="008E1F5A">
            <w:pPr>
              <w:jc w:val="both"/>
              <w:rPr>
                <w:sz w:val="24"/>
                <w:szCs w:val="24"/>
              </w:rPr>
            </w:pPr>
            <w:r w:rsidRPr="008E1F5A">
              <w:rPr>
                <w:sz w:val="24"/>
                <w:szCs w:val="24"/>
              </w:rPr>
              <w:t xml:space="preserve">Документите за кандидатстване </w:t>
            </w:r>
            <w:r w:rsidR="003A3FA0" w:rsidRPr="008E1F5A">
              <w:rPr>
                <w:sz w:val="24"/>
                <w:szCs w:val="24"/>
              </w:rPr>
              <w:t xml:space="preserve">по настоящата процедура за подбор на проекти </w:t>
            </w:r>
            <w:r w:rsidRPr="008E1F5A">
              <w:rPr>
                <w:sz w:val="24"/>
                <w:szCs w:val="24"/>
              </w:rPr>
              <w:t xml:space="preserve">следва да бъдат подадени </w:t>
            </w:r>
            <w:r w:rsidRPr="00254ADE">
              <w:rPr>
                <w:b/>
                <w:sz w:val="24"/>
                <w:szCs w:val="24"/>
              </w:rPr>
              <w:t>само по електронен път</w:t>
            </w:r>
            <w:r w:rsidR="003A3FA0">
              <w:rPr>
                <w:b/>
                <w:sz w:val="24"/>
                <w:szCs w:val="24"/>
              </w:rPr>
              <w:t xml:space="preserve"> </w:t>
            </w:r>
            <w:r w:rsidR="003A3FA0" w:rsidRPr="008E1F5A">
              <w:rPr>
                <w:sz w:val="24"/>
                <w:szCs w:val="24"/>
              </w:rPr>
              <w:t>в ИСУН 2020</w:t>
            </w:r>
            <w:r w:rsidRPr="00254ADE">
              <w:rPr>
                <w:b/>
                <w:sz w:val="24"/>
                <w:szCs w:val="24"/>
              </w:rPr>
              <w:t>.</w:t>
            </w:r>
            <w:r w:rsidR="003A3FA0" w:rsidRPr="008E1F5A">
              <w:rPr>
                <w:sz w:val="24"/>
                <w:szCs w:val="24"/>
              </w:rPr>
              <w:t xml:space="preserve"> Интернет адресът на модула за електронно кандидатстване на ИСУН 2020 е: </w:t>
            </w:r>
            <w:hyperlink r:id="rId24" w:history="1">
              <w:r w:rsidR="003A3FA0" w:rsidRPr="008E1F5A">
                <w:rPr>
                  <w:rStyle w:val="Hyperlink"/>
                  <w:sz w:val="24"/>
                  <w:szCs w:val="24"/>
                </w:rPr>
                <w:t>http://eumis2020.government.bg/</w:t>
              </w:r>
            </w:hyperlink>
            <w:r w:rsidR="003A3FA0" w:rsidRPr="008E1F5A">
              <w:rPr>
                <w:sz w:val="24"/>
                <w:szCs w:val="24"/>
              </w:rPr>
              <w:t>, където е налично ръководство за работа със системата.</w:t>
            </w:r>
          </w:p>
          <w:p w14:paraId="4EB97ED3" w14:textId="77777777" w:rsidR="007400B6" w:rsidRPr="008E1F5A" w:rsidRDefault="007400B6" w:rsidP="008E1F5A">
            <w:pPr>
              <w:jc w:val="both"/>
              <w:rPr>
                <w:sz w:val="24"/>
                <w:szCs w:val="24"/>
              </w:rPr>
            </w:pPr>
          </w:p>
          <w:p w14:paraId="14447541" w14:textId="77777777" w:rsidR="007400B6" w:rsidRPr="007400B6" w:rsidRDefault="007400B6" w:rsidP="007400B6">
            <w:pPr>
              <w:jc w:val="both"/>
              <w:rPr>
                <w:sz w:val="24"/>
                <w:szCs w:val="24"/>
                <w:shd w:val="clear" w:color="auto" w:fill="FEFEFE"/>
              </w:rPr>
            </w:pPr>
            <w:r w:rsidRPr="007400B6">
              <w:rPr>
                <w:sz w:val="24"/>
                <w:szCs w:val="24"/>
                <w:shd w:val="clear" w:color="auto" w:fill="FEFEFE"/>
              </w:rPr>
              <w:t>С квалифициран електронен подпис, наричан по-нататък „КЕП“, лице с право да представлява кандидата подписва единствено електронния формуляр, което удостоверява достоверността на всички приложени документи. Когато кандидатът се представлява от няколко лица заедно, формулярът се подписва от всяко от тях с КЕП. Когато проектното предложение се подава от упълномощено лице, се прилага изрично нотариално заверено пълномощно и формулярът се подписва с КЕП на упълномощеното лице.</w:t>
            </w:r>
          </w:p>
          <w:p w14:paraId="65681CCE" w14:textId="77777777" w:rsidR="007400B6" w:rsidRDefault="007400B6" w:rsidP="007400B6">
            <w:pPr>
              <w:jc w:val="both"/>
              <w:rPr>
                <w:sz w:val="24"/>
                <w:szCs w:val="24"/>
                <w:shd w:val="clear" w:color="auto" w:fill="FEFEFE"/>
              </w:rPr>
            </w:pPr>
          </w:p>
          <w:p w14:paraId="2152F6F6" w14:textId="020DC5C1" w:rsidR="007400B6" w:rsidRPr="007400B6" w:rsidRDefault="007400B6" w:rsidP="007400B6">
            <w:pPr>
              <w:jc w:val="both"/>
              <w:rPr>
                <w:sz w:val="24"/>
                <w:szCs w:val="24"/>
                <w:shd w:val="clear" w:color="auto" w:fill="FEFEFE"/>
              </w:rPr>
            </w:pPr>
            <w:r w:rsidRPr="007400B6">
              <w:rPr>
                <w:sz w:val="24"/>
                <w:szCs w:val="24"/>
                <w:shd w:val="clear" w:color="auto" w:fill="FEFEFE"/>
              </w:rPr>
              <w:t>Документите се прилагат към формуляра за кандидатстване във формат „рdf“, „xls“ или друг формат, указан в Раздел 24</w:t>
            </w:r>
            <w:r w:rsidRPr="007400B6">
              <w:rPr>
                <w:sz w:val="24"/>
                <w:szCs w:val="24"/>
              </w:rPr>
              <w:t xml:space="preserve"> „</w:t>
            </w:r>
            <w:r w:rsidRPr="007400B6">
              <w:rPr>
                <w:sz w:val="24"/>
                <w:szCs w:val="24"/>
                <w:shd w:val="clear" w:color="auto" w:fill="FEFEFE"/>
              </w:rPr>
              <w:t>Списък на документите, които се подават на етап кандидатстване“. Основната информация за проектното предложение се прилага във формат „рdf“, подписан от кандидата и във формат „xls”. Оригиналите на документите се съхраняват от кандидата/бенефициента и се представят при поискване.</w:t>
            </w:r>
          </w:p>
          <w:p w14:paraId="44E39DFE" w14:textId="77777777" w:rsidR="007400B6" w:rsidRDefault="007400B6" w:rsidP="007400B6">
            <w:pPr>
              <w:jc w:val="both"/>
              <w:rPr>
                <w:sz w:val="24"/>
                <w:szCs w:val="24"/>
                <w:shd w:val="clear" w:color="auto" w:fill="FEFEFE"/>
              </w:rPr>
            </w:pPr>
          </w:p>
          <w:p w14:paraId="06D905A0" w14:textId="6B3103E5" w:rsidR="007400B6" w:rsidRPr="007400B6" w:rsidRDefault="007400B6" w:rsidP="007400B6">
            <w:pPr>
              <w:jc w:val="both"/>
              <w:rPr>
                <w:sz w:val="24"/>
                <w:szCs w:val="24"/>
                <w:shd w:val="clear" w:color="auto" w:fill="FEFEFE"/>
              </w:rPr>
            </w:pPr>
            <w:r w:rsidRPr="007400B6">
              <w:rPr>
                <w:sz w:val="24"/>
                <w:szCs w:val="24"/>
                <w:shd w:val="clear" w:color="auto" w:fill="FEFEFE"/>
              </w:rPr>
              <w:t>Документите, приложени към формуляра за кандидатстване, както и тези, представени от кандидатите/бенефициентите в резултат на допълнително искане от оценителната комисия, трябва да бъдат представени на български език. Когато оригиналният документ е изготвен на чужд език, той трябва да бъде придружен с превод на български език, извършен от заклет преводач, а когато документът е официален по смисъла на Гражданския процесуален кодекс - да бъде легализиран или с апостил. Когато държавата, от която произхожда документът, е страна по Конвенцията за премахване на изискването за легализация на чуждестранни публични актове, ратифицирана със закон (обн., ДВ, бр. 47 от 2000 г.), и има договор за правна помощ</w:t>
            </w:r>
            <w:r w:rsidRPr="007400B6">
              <w:rPr>
                <w:sz w:val="24"/>
                <w:szCs w:val="24"/>
              </w:rPr>
              <w:t xml:space="preserve"> с </w:t>
            </w:r>
            <w:r w:rsidRPr="007400B6">
              <w:rPr>
                <w:sz w:val="24"/>
                <w:szCs w:val="24"/>
                <w:shd w:val="clear" w:color="auto" w:fill="FEFEFE"/>
              </w:rPr>
              <w:t>Република България, освобождаващ документите от легализация, документът трябва да е представен съгласно режима на двустранния договор.</w:t>
            </w:r>
          </w:p>
          <w:p w14:paraId="0C2C22EC" w14:textId="77777777" w:rsidR="007400B6" w:rsidRPr="008E1F5A" w:rsidRDefault="007400B6" w:rsidP="008E1F5A">
            <w:pPr>
              <w:jc w:val="both"/>
              <w:rPr>
                <w:sz w:val="24"/>
                <w:szCs w:val="24"/>
              </w:rPr>
            </w:pPr>
          </w:p>
          <w:p w14:paraId="4B89A7D7" w14:textId="77777777" w:rsidR="0006081F" w:rsidRDefault="0006081F" w:rsidP="008E1F5A">
            <w:pPr>
              <w:jc w:val="both"/>
              <w:rPr>
                <w:sz w:val="24"/>
                <w:szCs w:val="24"/>
              </w:rPr>
            </w:pPr>
            <w:r w:rsidRPr="008E1F5A">
              <w:rPr>
                <w:sz w:val="24"/>
                <w:szCs w:val="24"/>
              </w:rPr>
              <w:t xml:space="preserve">Подготовката, подаването и регистрирането на проектното предложение в ИСУН 2020 се извършва по следния начин: </w:t>
            </w:r>
          </w:p>
          <w:p w14:paraId="3380FC95" w14:textId="77777777" w:rsidR="00254ADE" w:rsidRPr="008E1F5A" w:rsidRDefault="00254ADE" w:rsidP="008E1F5A">
            <w:pPr>
              <w:jc w:val="both"/>
              <w:rPr>
                <w:sz w:val="24"/>
                <w:szCs w:val="24"/>
              </w:rPr>
            </w:pPr>
          </w:p>
          <w:p w14:paraId="7AF8C46F" w14:textId="77777777" w:rsidR="0006081F" w:rsidRPr="008E1F5A" w:rsidRDefault="0006081F" w:rsidP="008E1F5A">
            <w:pPr>
              <w:jc w:val="both"/>
              <w:rPr>
                <w:sz w:val="24"/>
                <w:szCs w:val="24"/>
              </w:rPr>
            </w:pPr>
            <w:r w:rsidRPr="008E1F5A">
              <w:rPr>
                <w:sz w:val="24"/>
                <w:szCs w:val="24"/>
              </w:rPr>
              <w:t xml:space="preserve">Кандидатът влиза в ИСУН 2020 през модула за електронни услуги на адрес: </w:t>
            </w:r>
            <w:hyperlink r:id="rId25" w:history="1">
              <w:r w:rsidRPr="008E1F5A">
                <w:rPr>
                  <w:rStyle w:val="Hyperlink"/>
                  <w:sz w:val="24"/>
                  <w:szCs w:val="24"/>
                </w:rPr>
                <w:t>https://eumis2020.government.bg/</w:t>
              </w:r>
            </w:hyperlink>
          </w:p>
          <w:p w14:paraId="3494D4A8" w14:textId="77777777" w:rsidR="00DD0493" w:rsidRDefault="0006081F" w:rsidP="008E1F5A">
            <w:pPr>
              <w:jc w:val="both"/>
              <w:rPr>
                <w:sz w:val="24"/>
                <w:szCs w:val="24"/>
              </w:rPr>
            </w:pPr>
            <w:r w:rsidRPr="008E1F5A">
              <w:rPr>
                <w:sz w:val="24"/>
                <w:szCs w:val="24"/>
              </w:rPr>
              <w:t>Кандидатът се регистрира в системата като нов потребител (ако е приложимо), след което има достъп до нея чрез потребителско име (електронна поща) и парола.</w:t>
            </w:r>
          </w:p>
          <w:p w14:paraId="2A11C0DF" w14:textId="77777777" w:rsidR="00254ADE" w:rsidRPr="008E1F5A" w:rsidRDefault="00254ADE" w:rsidP="008E1F5A">
            <w:pPr>
              <w:jc w:val="both"/>
              <w:rPr>
                <w:sz w:val="24"/>
                <w:szCs w:val="24"/>
              </w:rPr>
            </w:pPr>
          </w:p>
          <w:p w14:paraId="16165B84" w14:textId="77777777" w:rsidR="00254ADE" w:rsidRPr="008E1F5A" w:rsidRDefault="00254ADE" w:rsidP="00254ADE">
            <w:pPr>
              <w:jc w:val="both"/>
              <w:rPr>
                <w:sz w:val="24"/>
                <w:szCs w:val="24"/>
              </w:rPr>
            </w:pPr>
            <w:r w:rsidRPr="008E1F5A">
              <w:rPr>
                <w:sz w:val="24"/>
                <w:szCs w:val="24"/>
              </w:rPr>
              <w:t xml:space="preserve">ВАЖНО! </w:t>
            </w:r>
          </w:p>
          <w:p w14:paraId="062101EF" w14:textId="72C18149" w:rsidR="00254ADE" w:rsidRDefault="00254ADE" w:rsidP="00254ADE">
            <w:pPr>
              <w:jc w:val="both"/>
              <w:rPr>
                <w:sz w:val="24"/>
                <w:szCs w:val="24"/>
              </w:rPr>
            </w:pPr>
            <w:r w:rsidRPr="008E1F5A">
              <w:rPr>
                <w:sz w:val="24"/>
                <w:szCs w:val="24"/>
              </w:rPr>
              <w:t>Моля обърнете внимание, че електронната поща, с която се регистрирате като потребител в ИСУН 2020 е асоциирана с профила на кандидата. Комуникацията (Кореспонденцията) с кандидата по време на оценка на проектното предложение се осъществява по електронен път чрез профила на кандидата в ИСУН 2020, от който е подаден съответния проект и промени на посочения профил са невъзможни.</w:t>
            </w:r>
          </w:p>
          <w:p w14:paraId="0489BF6A" w14:textId="77777777" w:rsidR="00254ADE" w:rsidRDefault="00254ADE" w:rsidP="00254ADE">
            <w:pPr>
              <w:jc w:val="both"/>
              <w:rPr>
                <w:sz w:val="24"/>
                <w:szCs w:val="24"/>
              </w:rPr>
            </w:pPr>
          </w:p>
          <w:p w14:paraId="0D6B5C2C" w14:textId="64BD3ED1" w:rsidR="0006081F" w:rsidRPr="008E1F5A" w:rsidRDefault="0006081F" w:rsidP="008E1F5A">
            <w:pPr>
              <w:jc w:val="both"/>
              <w:rPr>
                <w:sz w:val="24"/>
                <w:szCs w:val="24"/>
              </w:rPr>
            </w:pPr>
            <w:r w:rsidRPr="008E1F5A">
              <w:rPr>
                <w:sz w:val="24"/>
                <w:szCs w:val="24"/>
              </w:rPr>
              <w:t>Кандидатът</w:t>
            </w:r>
            <w:r w:rsidRPr="008E1F5A" w:rsidDel="00FD122A">
              <w:rPr>
                <w:sz w:val="24"/>
                <w:szCs w:val="24"/>
              </w:rPr>
              <w:t xml:space="preserve"> </w:t>
            </w:r>
            <w:r w:rsidRPr="008E1F5A">
              <w:rPr>
                <w:sz w:val="24"/>
                <w:szCs w:val="24"/>
              </w:rPr>
              <w:t>избира процедура BG0</w:t>
            </w:r>
            <w:r w:rsidR="00331FD5" w:rsidRPr="008E1F5A">
              <w:rPr>
                <w:sz w:val="24"/>
                <w:szCs w:val="24"/>
              </w:rPr>
              <w:t>6RDNP001</w:t>
            </w:r>
            <w:r w:rsidRPr="008E1F5A">
              <w:rPr>
                <w:sz w:val="24"/>
                <w:szCs w:val="24"/>
              </w:rPr>
              <w:t>-</w:t>
            </w:r>
            <w:r w:rsidR="008916EB" w:rsidRPr="008E1F5A">
              <w:rPr>
                <w:sz w:val="24"/>
                <w:szCs w:val="24"/>
              </w:rPr>
              <w:t>19.</w:t>
            </w:r>
            <w:r w:rsidR="008A201B" w:rsidRPr="008E1F5A">
              <w:rPr>
                <w:sz w:val="24"/>
                <w:szCs w:val="24"/>
              </w:rPr>
              <w:t xml:space="preserve">002 </w:t>
            </w:r>
            <w:r w:rsidR="008916EB" w:rsidRPr="008E1F5A">
              <w:rPr>
                <w:sz w:val="24"/>
                <w:szCs w:val="24"/>
              </w:rPr>
              <w:t>МИГ_Поморие_10_1_</w:t>
            </w:r>
            <w:r w:rsidR="00B631E9" w:rsidRPr="008E1F5A">
              <w:rPr>
                <w:sz w:val="24"/>
                <w:szCs w:val="24"/>
              </w:rPr>
              <w:t xml:space="preserve">7.2. </w:t>
            </w:r>
            <w:r w:rsidR="008916EB" w:rsidRPr="008E1F5A">
              <w:rPr>
                <w:sz w:val="24"/>
                <w:szCs w:val="24"/>
              </w:rPr>
              <w:t xml:space="preserve">М4_ </w:t>
            </w:r>
            <w:r w:rsidRPr="008E1F5A">
              <w:rPr>
                <w:sz w:val="24"/>
                <w:szCs w:val="24"/>
              </w:rPr>
              <w:t>„</w:t>
            </w:r>
            <w:r w:rsidR="00331FD5" w:rsidRPr="008E1F5A">
              <w:rPr>
                <w:sz w:val="24"/>
                <w:szCs w:val="24"/>
              </w:rPr>
              <w:t>Инвестиции в създаването, подобряването или разширяването на всички видове малка по мащаби инфраструктура</w:t>
            </w:r>
            <w:r w:rsidRPr="008E1F5A">
              <w:rPr>
                <w:sz w:val="24"/>
                <w:szCs w:val="24"/>
              </w:rPr>
              <w:t>” от наличните отворени за кандидатстване процедури.</w:t>
            </w:r>
          </w:p>
          <w:p w14:paraId="6ABBB9EE" w14:textId="77777777" w:rsidR="009A58DB" w:rsidRDefault="009A58DB" w:rsidP="008E1F5A">
            <w:pPr>
              <w:jc w:val="both"/>
              <w:rPr>
                <w:sz w:val="24"/>
                <w:szCs w:val="24"/>
              </w:rPr>
            </w:pPr>
            <w:r w:rsidRPr="008E1F5A">
              <w:rPr>
                <w:sz w:val="24"/>
                <w:szCs w:val="24"/>
              </w:rPr>
              <w:t>Кандидатът изтегля ново проектно предложение за кандидатстване по съответната процедура.</w:t>
            </w:r>
          </w:p>
          <w:p w14:paraId="3B53D5E9" w14:textId="77777777" w:rsidR="00254ADE" w:rsidRPr="008E1F5A" w:rsidRDefault="00254ADE" w:rsidP="008E1F5A">
            <w:pPr>
              <w:jc w:val="both"/>
              <w:rPr>
                <w:sz w:val="24"/>
                <w:szCs w:val="24"/>
              </w:rPr>
            </w:pPr>
          </w:p>
          <w:p w14:paraId="3ED8D746" w14:textId="77777777" w:rsidR="009A58DB" w:rsidRPr="008E1F5A" w:rsidRDefault="009A58DB" w:rsidP="008E1F5A">
            <w:pPr>
              <w:jc w:val="both"/>
              <w:rPr>
                <w:sz w:val="24"/>
                <w:szCs w:val="24"/>
              </w:rPr>
            </w:pPr>
            <w:r w:rsidRPr="008E1F5A">
              <w:rPr>
                <w:sz w:val="24"/>
                <w:szCs w:val="24"/>
              </w:rPr>
              <w:t>Кандидатът попълва формуляра з</w:t>
            </w:r>
            <w:r w:rsidR="00161DFF" w:rsidRPr="008E1F5A">
              <w:rPr>
                <w:sz w:val="24"/>
                <w:szCs w:val="24"/>
              </w:rPr>
              <w:t xml:space="preserve">а кандидатстване по процедурата следвайки указанията за работа със системата на адрес: </w:t>
            </w:r>
            <w:hyperlink r:id="rId26" w:history="1">
              <w:r w:rsidR="00161DFF" w:rsidRPr="008E1F5A">
                <w:rPr>
                  <w:rStyle w:val="Hyperlink"/>
                  <w:sz w:val="24"/>
                  <w:szCs w:val="24"/>
                </w:rPr>
                <w:t>https://eumis2020.government.bg/bg/s/Home/Manual</w:t>
              </w:r>
            </w:hyperlink>
            <w:r w:rsidR="00E623C3" w:rsidRPr="008E1F5A">
              <w:rPr>
                <w:sz w:val="24"/>
                <w:szCs w:val="24"/>
              </w:rPr>
              <w:t xml:space="preserve">. </w:t>
            </w:r>
            <w:r w:rsidRPr="008E1F5A">
              <w:rPr>
                <w:sz w:val="24"/>
                <w:szCs w:val="24"/>
              </w:rPr>
              <w:t>Системата предоставя възможност за коригиране, запазване и допълване на формуляра докато той е в работен режим (чернова). Всеки формул</w:t>
            </w:r>
            <w:r w:rsidR="000B2CAC" w:rsidRPr="008E1F5A">
              <w:rPr>
                <w:sz w:val="24"/>
                <w:szCs w:val="24"/>
              </w:rPr>
              <w:t>яр може да бъде записан локално</w:t>
            </w:r>
            <w:r w:rsidRPr="008E1F5A">
              <w:rPr>
                <w:sz w:val="24"/>
                <w:szCs w:val="24"/>
              </w:rPr>
              <w:t xml:space="preserve">, на файл в специален формат, който може да се отваря единствено от ИСУН 2020. Системата позволява зареждането на локално записан файл на формуляр за кандидатстване </w:t>
            </w:r>
            <w:r w:rsidRPr="008E1F5A">
              <w:rPr>
                <w:sz w:val="24"/>
                <w:szCs w:val="24"/>
              </w:rPr>
              <w:lastRenderedPageBreak/>
              <w:t>и редакция по него, от друг потребител, който е регистриран в системата, когато това е необходимо.</w:t>
            </w:r>
          </w:p>
          <w:p w14:paraId="1FC75CEB" w14:textId="67B6EE2C" w:rsidR="009A58DB" w:rsidRPr="008E1F5A" w:rsidRDefault="009A58DB" w:rsidP="008E1F5A">
            <w:pPr>
              <w:jc w:val="both"/>
              <w:rPr>
                <w:sz w:val="24"/>
                <w:szCs w:val="24"/>
              </w:rPr>
            </w:pPr>
            <w:r w:rsidRPr="008E1F5A">
              <w:rPr>
                <w:sz w:val="24"/>
                <w:szCs w:val="24"/>
              </w:rPr>
              <w:t xml:space="preserve">Кандидатът прикачва към формуляра за кандидатстване допълнително изискуемите </w:t>
            </w:r>
            <w:r w:rsidR="00E91A81" w:rsidRPr="008E1F5A">
              <w:rPr>
                <w:sz w:val="24"/>
                <w:szCs w:val="24"/>
              </w:rPr>
              <w:t>документи (посоче</w:t>
            </w:r>
            <w:r w:rsidR="00FE6D95" w:rsidRPr="008E1F5A">
              <w:rPr>
                <w:sz w:val="24"/>
                <w:szCs w:val="24"/>
              </w:rPr>
              <w:t xml:space="preserve">ни в т. </w:t>
            </w:r>
            <w:r w:rsidR="00D42534">
              <w:rPr>
                <w:sz w:val="24"/>
                <w:szCs w:val="24"/>
              </w:rPr>
              <w:t xml:space="preserve">24 </w:t>
            </w:r>
            <w:r w:rsidRPr="008E1F5A">
              <w:rPr>
                <w:sz w:val="24"/>
                <w:szCs w:val="24"/>
              </w:rPr>
              <w:t>от Условията) в специално обособена секция.</w:t>
            </w:r>
          </w:p>
          <w:p w14:paraId="3E445799" w14:textId="77777777" w:rsidR="009A58DB" w:rsidRPr="008E1F5A" w:rsidRDefault="009A58DB" w:rsidP="008E1F5A">
            <w:pPr>
              <w:jc w:val="both"/>
              <w:rPr>
                <w:sz w:val="24"/>
                <w:szCs w:val="24"/>
              </w:rPr>
            </w:pPr>
            <w:r w:rsidRPr="008E1F5A">
              <w:rPr>
                <w:sz w:val="24"/>
                <w:szCs w:val="24"/>
              </w:rPr>
              <w:t>Кандидатът указва в системата, че финализира формуляра за кандидатстване. Преди да финализира формуляра за кандидатстване, кандидатът може да го провери за грешки чрез бутон „Провери формуляра за грешки“ от менюто в долния край на екрана.</w:t>
            </w:r>
          </w:p>
          <w:p w14:paraId="5EE15336" w14:textId="77777777" w:rsidR="009A58DB" w:rsidRPr="008E1F5A" w:rsidRDefault="009A58DB" w:rsidP="008E1F5A">
            <w:pPr>
              <w:jc w:val="both"/>
              <w:rPr>
                <w:sz w:val="24"/>
                <w:szCs w:val="24"/>
              </w:rPr>
            </w:pPr>
            <w:r w:rsidRPr="008E1F5A">
              <w:rPr>
                <w:sz w:val="24"/>
                <w:szCs w:val="24"/>
              </w:rPr>
              <w:t>Системата позволява запис на създадения формуляр за кандидатстване на работния компютър на кандидата, подписването му от един или повече представители на кандидата с КЕП и прикачване на генерираните файлове.</w:t>
            </w:r>
          </w:p>
          <w:p w14:paraId="0542152A" w14:textId="77777777" w:rsidR="009A58DB" w:rsidRPr="008E1F5A" w:rsidRDefault="009A58DB" w:rsidP="008E1F5A">
            <w:pPr>
              <w:jc w:val="both"/>
              <w:rPr>
                <w:sz w:val="24"/>
                <w:szCs w:val="24"/>
              </w:rPr>
            </w:pPr>
            <w:r w:rsidRPr="008E1F5A">
              <w:rPr>
                <w:sz w:val="24"/>
                <w:szCs w:val="24"/>
              </w:rPr>
              <w:t>При коректно извършване на описаните действия кандидатът изпраща формуляра за кандидатстване и документите към него чрез системата.</w:t>
            </w:r>
          </w:p>
          <w:p w14:paraId="533297DE" w14:textId="77777777" w:rsidR="009A58DB" w:rsidRPr="008E1F5A" w:rsidRDefault="009A58DB" w:rsidP="008E1F5A">
            <w:pPr>
              <w:jc w:val="both"/>
              <w:rPr>
                <w:sz w:val="24"/>
                <w:szCs w:val="24"/>
              </w:rPr>
            </w:pPr>
            <w:r w:rsidRPr="008E1F5A">
              <w:rPr>
                <w:sz w:val="24"/>
                <w:szCs w:val="24"/>
              </w:rPr>
              <w:t>Системата регистрира подаденото проектно предложение и генерира регистрационен номер.</w:t>
            </w:r>
          </w:p>
          <w:p w14:paraId="56F8EE8C" w14:textId="77777777" w:rsidR="009A58DB" w:rsidRPr="008E1F5A" w:rsidRDefault="009A58DB" w:rsidP="008E1F5A">
            <w:pPr>
              <w:jc w:val="both"/>
              <w:rPr>
                <w:sz w:val="24"/>
                <w:szCs w:val="24"/>
              </w:rPr>
            </w:pPr>
            <w:r w:rsidRPr="008E1F5A">
              <w:rPr>
                <w:sz w:val="24"/>
                <w:szCs w:val="24"/>
              </w:rPr>
              <w:t>Системата изпраща уведомление до посочения електронен адрес на потребителя, че проектното предложение е регистрирано със съответния регистрационен номер.</w:t>
            </w:r>
          </w:p>
          <w:p w14:paraId="26E454F7" w14:textId="77777777" w:rsidR="009A58DB" w:rsidRPr="008E1F5A" w:rsidRDefault="009A58DB" w:rsidP="008E1F5A">
            <w:pPr>
              <w:jc w:val="both"/>
              <w:rPr>
                <w:sz w:val="24"/>
                <w:szCs w:val="24"/>
              </w:rPr>
            </w:pPr>
            <w:r w:rsidRPr="008E1F5A">
              <w:rPr>
                <w:sz w:val="24"/>
                <w:szCs w:val="24"/>
              </w:rPr>
              <w:t xml:space="preserve">До приключване на работата на оценителната комисия кандидатът има възможност да оттегли своето проектно предложение като подаде писмено искане </w:t>
            </w:r>
            <w:r w:rsidR="00CA7555" w:rsidRPr="008E1F5A">
              <w:rPr>
                <w:sz w:val="24"/>
                <w:szCs w:val="24"/>
              </w:rPr>
              <w:t>до МИГ</w:t>
            </w:r>
            <w:r w:rsidRPr="008E1F5A">
              <w:rPr>
                <w:sz w:val="24"/>
                <w:szCs w:val="24"/>
              </w:rPr>
              <w:t xml:space="preserve"> на хартиен носител, подписано от поне един от представляващите кандидата и подпечатано, като това обстоятелство се отбелязва в ИСУН 2020 от потребител на системата със съответните права и оттегленото проектно предложение не се разглежда от оценителната комисия.</w:t>
            </w:r>
          </w:p>
          <w:p w14:paraId="209C54FC" w14:textId="77777777" w:rsidR="009A58DB" w:rsidRPr="008E1F5A" w:rsidRDefault="009A58DB" w:rsidP="008E1F5A">
            <w:pPr>
              <w:jc w:val="both"/>
              <w:rPr>
                <w:sz w:val="24"/>
                <w:szCs w:val="24"/>
              </w:rPr>
            </w:pPr>
            <w:r w:rsidRPr="008E1F5A">
              <w:rPr>
                <w:sz w:val="24"/>
                <w:szCs w:val="24"/>
              </w:rPr>
              <w:t>Формулярът за кандидатстване трябва да бъде попълнен внимателно и максимално ясно, така че да може да бъде оценен правилно. Всякакви грешки или несъответствия, допуснати при попълване на Формуляра за кандидатстване могат да доведат до отхвърляне на проектното предложение.</w:t>
            </w:r>
          </w:p>
          <w:p w14:paraId="28750570" w14:textId="77777777" w:rsidR="009A58DB" w:rsidRPr="008E1F5A" w:rsidRDefault="009A58DB" w:rsidP="008E1F5A">
            <w:pPr>
              <w:jc w:val="both"/>
              <w:rPr>
                <w:sz w:val="24"/>
                <w:szCs w:val="24"/>
              </w:rPr>
            </w:pPr>
            <w:r w:rsidRPr="008E1F5A">
              <w:rPr>
                <w:sz w:val="24"/>
                <w:szCs w:val="24"/>
              </w:rPr>
              <w:t>При оценката на проектните предложения оценителната комисия може да изиска допълнителна пояснителна информация или документ от кандидатите. Комуникацията с кандидатите се осъществява посредством Информационната система за управление и наблюдение ИСУН 2020 чрез профила на кандидата и асоциирания към него електронен адрес на потребителя.</w:t>
            </w:r>
          </w:p>
          <w:p w14:paraId="689B81F3" w14:textId="77777777" w:rsidR="00093CB8" w:rsidRDefault="009A58DB" w:rsidP="008E1F5A">
            <w:pPr>
              <w:jc w:val="both"/>
              <w:rPr>
                <w:sz w:val="24"/>
                <w:szCs w:val="24"/>
              </w:rPr>
            </w:pPr>
            <w:r w:rsidRPr="008E1F5A">
              <w:rPr>
                <w:sz w:val="24"/>
                <w:szCs w:val="24"/>
              </w:rPr>
              <w:t>Следва да се има предвид обаче, че Формулярът за кандидатстване не може да бъде изискван допълнително и непредставянето на някое от изисканите приложения може да доведе до автоматичното отхвърляне от оценителната комисия на проектното предложение.</w:t>
            </w:r>
          </w:p>
          <w:p w14:paraId="2C5E74E0" w14:textId="1A6D91B1" w:rsidR="00A038EE" w:rsidRPr="007713C1" w:rsidRDefault="00A038EE" w:rsidP="00A038EE">
            <w:pPr>
              <w:jc w:val="both"/>
              <w:rPr>
                <w:b/>
              </w:rPr>
            </w:pPr>
          </w:p>
        </w:tc>
      </w:tr>
    </w:tbl>
    <w:p w14:paraId="13099AD5" w14:textId="77777777" w:rsidR="008C3A8E" w:rsidRPr="0085404A" w:rsidRDefault="008C3A8E" w:rsidP="0085404A">
      <w:bookmarkStart w:id="73" w:name="_Toc445385616"/>
    </w:p>
    <w:p w14:paraId="7CF45EE6" w14:textId="6FDBEBF1" w:rsidR="007F710B" w:rsidRDefault="00B85DDC" w:rsidP="003A2D4B">
      <w:pPr>
        <w:pStyle w:val="Heading1"/>
      </w:pPr>
      <w:bookmarkStart w:id="74" w:name="_Toc534292229"/>
      <w:r>
        <w:t>2</w:t>
      </w:r>
      <w:r w:rsidR="00BE42E8">
        <w:t>4</w:t>
      </w:r>
      <w:r w:rsidR="007F710B" w:rsidRPr="007713C1">
        <w:t>. Списък на документите, които се</w:t>
      </w:r>
      <w:r w:rsidR="00ED52D4" w:rsidRPr="007713C1">
        <w:t xml:space="preserve"> подават на етап кандидатстване</w:t>
      </w:r>
      <w:r w:rsidR="007F710B" w:rsidRPr="007713C1">
        <w:t>:</w:t>
      </w:r>
      <w:bookmarkEnd w:id="73"/>
      <w:bookmarkEnd w:id="74"/>
    </w:p>
    <w:p w14:paraId="5690CE2C" w14:textId="6628C48A" w:rsidR="00F22995" w:rsidRPr="00F22995" w:rsidRDefault="0017509D" w:rsidP="00F22995">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sz w:val="24"/>
          <w:szCs w:val="24"/>
        </w:rPr>
        <w:lastRenderedPageBreak/>
        <w:t>Когато документът не е приложим, кандидатът прикачва декларация по образец на Държавен фонд „Земеделие“</w:t>
      </w:r>
      <w:r w:rsidR="000A6535">
        <w:rPr>
          <w:rFonts w:ascii="Times New Roman" w:hAnsi="Times New Roman" w:cs="Times New Roman"/>
          <w:sz w:val="24"/>
          <w:szCs w:val="24"/>
        </w:rPr>
        <w:t xml:space="preserve"> (Приложение № 6</w:t>
      </w:r>
      <w:r w:rsidR="003D4307">
        <w:rPr>
          <w:rFonts w:ascii="Times New Roman" w:hAnsi="Times New Roman" w:cs="Times New Roman"/>
          <w:sz w:val="24"/>
          <w:szCs w:val="24"/>
        </w:rPr>
        <w:t>)</w:t>
      </w:r>
      <w:r>
        <w:rPr>
          <w:rFonts w:ascii="Times New Roman" w:hAnsi="Times New Roman" w:cs="Times New Roman"/>
          <w:sz w:val="24"/>
          <w:szCs w:val="24"/>
        </w:rPr>
        <w:t xml:space="preserve">, удостоверяваща това обстоятелство – във формат </w:t>
      </w:r>
      <w:r>
        <w:rPr>
          <w:rFonts w:ascii="Times New Roman" w:hAnsi="Times New Roman" w:cs="Times New Roman"/>
          <w:sz w:val="24"/>
          <w:szCs w:val="24"/>
          <w:lang w:val="en-US"/>
        </w:rPr>
        <w:t xml:space="preserve">“.pdf” </w:t>
      </w:r>
      <w:r>
        <w:rPr>
          <w:rFonts w:ascii="Times New Roman" w:hAnsi="Times New Roman" w:cs="Times New Roman"/>
          <w:sz w:val="24"/>
          <w:szCs w:val="24"/>
        </w:rPr>
        <w:t>или „</w:t>
      </w:r>
      <w:r>
        <w:rPr>
          <w:rFonts w:ascii="Times New Roman" w:hAnsi="Times New Roman" w:cs="Times New Roman"/>
          <w:sz w:val="24"/>
          <w:szCs w:val="24"/>
          <w:lang w:val="en-US"/>
        </w:rPr>
        <w:t>.jpg</w:t>
      </w:r>
      <w:r>
        <w:rPr>
          <w:rFonts w:ascii="Times New Roman" w:hAnsi="Times New Roman" w:cs="Times New Roman"/>
          <w:sz w:val="24"/>
          <w:szCs w:val="24"/>
        </w:rPr>
        <w:t>“.</w:t>
      </w:r>
    </w:p>
    <w:p w14:paraId="7EC638FD" w14:textId="528C6EDC" w:rsidR="00A251C2" w:rsidRPr="0087183F" w:rsidRDefault="00F22995" w:rsidP="0087183F">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F22995">
        <w:rPr>
          <w:rFonts w:ascii="Times New Roman" w:hAnsi="Times New Roman" w:cs="Times New Roman"/>
          <w:sz w:val="24"/>
          <w:szCs w:val="24"/>
        </w:rPr>
        <w:t xml:space="preserve">В случай, че някой от приложимите документи, които се подават на етап кандидатстване, не е представен, същия се изисква от кандидата като пояснителна информация. </w:t>
      </w:r>
      <w:r w:rsidR="007277FB" w:rsidRPr="007277FB">
        <w:rPr>
          <w:rFonts w:ascii="Times New Roman" w:hAnsi="Times New Roman" w:cs="Times New Roman"/>
          <w:sz w:val="24"/>
          <w:szCs w:val="24"/>
        </w:rPr>
        <w:t xml:space="preserve">Когато се изисква документ, който се издава от други държавни и/или общински органи или институции, кандидатът представя към датата на кандидатстване писмено доказателство с входящ номер, с което е заявено искането към държавен и/или общински орган или институция за издаване на документа, ведно с придружаващите го документи. </w:t>
      </w:r>
      <w:r w:rsidRPr="00F22995">
        <w:rPr>
          <w:rFonts w:ascii="Times New Roman" w:hAnsi="Times New Roman" w:cs="Times New Roman"/>
          <w:sz w:val="24"/>
          <w:szCs w:val="24"/>
        </w:rPr>
        <w:t xml:space="preserve"> Документът следва да се представи в срока, определен от оценителната комисия. Непредставянето на документа след искането му от Оценителната комисия е основание за отхвърляне на проектното предложение.</w:t>
      </w:r>
    </w:p>
    <w:p w14:paraId="41080545" w14:textId="508ED906" w:rsidR="005F2C11" w:rsidRPr="007A2ECD" w:rsidRDefault="005F2C11" w:rsidP="007A2ECD">
      <w:pPr>
        <w:pStyle w:val="Heading2"/>
      </w:pPr>
      <w:bookmarkStart w:id="75" w:name="_Toc534292230"/>
      <w:r w:rsidRPr="007A2ECD">
        <w:t xml:space="preserve">24.1. Списък с </w:t>
      </w:r>
      <w:r w:rsidR="007A2ECD">
        <w:t>общи документи</w:t>
      </w:r>
      <w:bookmarkEnd w:id="75"/>
    </w:p>
    <w:tbl>
      <w:tblPr>
        <w:tblStyle w:val="TableGrid"/>
        <w:tblW w:w="0" w:type="auto"/>
        <w:tblInd w:w="-147" w:type="dxa"/>
        <w:tblLook w:val="04A0" w:firstRow="1" w:lastRow="0" w:firstColumn="1" w:lastColumn="0" w:noHBand="0" w:noVBand="1"/>
      </w:tblPr>
      <w:tblGrid>
        <w:gridCol w:w="9493"/>
      </w:tblGrid>
      <w:tr w:rsidR="0006081F" w:rsidRPr="007713C1" w14:paraId="7863C227" w14:textId="77777777" w:rsidTr="00935628">
        <w:trPr>
          <w:trHeight w:val="1089"/>
        </w:trPr>
        <w:tc>
          <w:tcPr>
            <w:tcW w:w="9493" w:type="dxa"/>
          </w:tcPr>
          <w:p w14:paraId="1614A28F" w14:textId="7B5EB33F" w:rsidR="00611AE6" w:rsidRPr="00E41080" w:rsidRDefault="00F44AFC" w:rsidP="00611AE6">
            <w:pPr>
              <w:jc w:val="both"/>
              <w:rPr>
                <w:sz w:val="24"/>
                <w:szCs w:val="24"/>
              </w:rPr>
            </w:pPr>
            <w:r>
              <w:rPr>
                <w:sz w:val="24"/>
                <w:szCs w:val="24"/>
              </w:rPr>
              <w:t>1</w:t>
            </w:r>
            <w:r w:rsidR="006329A5">
              <w:rPr>
                <w:sz w:val="24"/>
                <w:szCs w:val="24"/>
              </w:rPr>
              <w:t>.</w:t>
            </w:r>
            <w:r w:rsidR="00611AE6" w:rsidRPr="00E41080">
              <w:rPr>
                <w:sz w:val="24"/>
                <w:szCs w:val="24"/>
              </w:rPr>
              <w:t>Таблица за допустими инвестиции във формат „pdf”, подписан и сканиран от кандидата, както и във формат „</w:t>
            </w:r>
            <w:r w:rsidR="00FB4DE8" w:rsidRPr="00E41080">
              <w:rPr>
                <w:sz w:val="24"/>
                <w:szCs w:val="24"/>
              </w:rPr>
              <w:t>xls“, „xlsx“;</w:t>
            </w:r>
          </w:p>
          <w:p w14:paraId="30AD119B" w14:textId="37010580" w:rsidR="00611AE6" w:rsidRPr="00E41080" w:rsidRDefault="00F44AFC" w:rsidP="00611AE6">
            <w:pPr>
              <w:jc w:val="both"/>
              <w:rPr>
                <w:sz w:val="24"/>
                <w:szCs w:val="24"/>
              </w:rPr>
            </w:pPr>
            <w:r>
              <w:rPr>
                <w:sz w:val="24"/>
                <w:szCs w:val="24"/>
              </w:rPr>
              <w:t>2</w:t>
            </w:r>
            <w:r w:rsidR="00611AE6" w:rsidRPr="00E41080">
              <w:rPr>
                <w:sz w:val="24"/>
                <w:szCs w:val="24"/>
              </w:rPr>
              <w:t>. Декларация по чл. 19 и 20 от Закона за защита на личните данни с подпис/и, печат и сканира</w:t>
            </w:r>
            <w:r w:rsidR="00FB4DE8" w:rsidRPr="00E41080">
              <w:rPr>
                <w:sz w:val="24"/>
                <w:szCs w:val="24"/>
              </w:rPr>
              <w:t>на във формат „pdf“ или „jpg“;</w:t>
            </w:r>
          </w:p>
          <w:p w14:paraId="39CD6947" w14:textId="4906359D" w:rsidR="002B60BF" w:rsidRPr="00D05BFE" w:rsidRDefault="00F44AFC" w:rsidP="00594611">
            <w:pPr>
              <w:jc w:val="both"/>
              <w:rPr>
                <w:sz w:val="24"/>
                <w:szCs w:val="24"/>
              </w:rPr>
            </w:pPr>
            <w:r>
              <w:rPr>
                <w:sz w:val="24"/>
                <w:szCs w:val="24"/>
              </w:rPr>
              <w:t>3</w:t>
            </w:r>
            <w:r w:rsidR="00611AE6" w:rsidRPr="00E41080">
              <w:rPr>
                <w:sz w:val="24"/>
                <w:szCs w:val="24"/>
              </w:rPr>
              <w:t>. Декларация за нередности с подпис/и, печат и сканирана във формат „pdf“ или „jp</w:t>
            </w:r>
            <w:r w:rsidR="00FB4DE8" w:rsidRPr="00E41080">
              <w:rPr>
                <w:sz w:val="24"/>
                <w:szCs w:val="24"/>
              </w:rPr>
              <w:t xml:space="preserve">g“; </w:t>
            </w:r>
          </w:p>
          <w:p w14:paraId="7F3CA75B" w14:textId="560A2480" w:rsidR="002B60BF" w:rsidRDefault="00D05BFE" w:rsidP="00594611">
            <w:pPr>
              <w:jc w:val="both"/>
              <w:rPr>
                <w:sz w:val="24"/>
                <w:szCs w:val="24"/>
              </w:rPr>
            </w:pPr>
            <w:r>
              <w:rPr>
                <w:sz w:val="24"/>
                <w:szCs w:val="24"/>
              </w:rPr>
              <w:t>4</w:t>
            </w:r>
            <w:r w:rsidR="0089382C">
              <w:rPr>
                <w:sz w:val="24"/>
                <w:szCs w:val="24"/>
              </w:rPr>
              <w:t xml:space="preserve">. </w:t>
            </w:r>
            <w:r w:rsidR="002B60BF" w:rsidRPr="002B60BF">
              <w:rPr>
                <w:sz w:val="24"/>
                <w:szCs w:val="24"/>
              </w:rPr>
              <w:t>Становище от съответната басейнова дирекция, доказващо, че обектите, предмет на инвестицията, не противоречат на плановете за управление на речните басейни в случаите на инвестиции с дейности по напояване, водовземане, водоснабдяване</w:t>
            </w:r>
            <w:r w:rsidR="00F07C46">
              <w:rPr>
                <w:sz w:val="24"/>
                <w:szCs w:val="24"/>
              </w:rPr>
              <w:t xml:space="preserve"> (ако е приложимо)</w:t>
            </w:r>
            <w:r w:rsidR="002B60BF" w:rsidRPr="002B60BF">
              <w:rPr>
                <w:sz w:val="24"/>
                <w:szCs w:val="24"/>
              </w:rPr>
              <w:t xml:space="preserve">; </w:t>
            </w:r>
          </w:p>
          <w:p w14:paraId="7D5192E2" w14:textId="1E15202B" w:rsidR="00594611" w:rsidRPr="00E41080" w:rsidRDefault="00D05BFE" w:rsidP="00594611">
            <w:pPr>
              <w:jc w:val="both"/>
              <w:rPr>
                <w:sz w:val="24"/>
                <w:szCs w:val="24"/>
              </w:rPr>
            </w:pPr>
            <w:r>
              <w:rPr>
                <w:sz w:val="24"/>
                <w:szCs w:val="24"/>
              </w:rPr>
              <w:t>5</w:t>
            </w:r>
            <w:r w:rsidR="0089382C">
              <w:rPr>
                <w:sz w:val="24"/>
                <w:szCs w:val="24"/>
              </w:rPr>
              <w:t xml:space="preserve">. </w:t>
            </w:r>
            <w:r w:rsidR="002B60BF" w:rsidRPr="002B60BF">
              <w:rPr>
                <w:sz w:val="24"/>
                <w:szCs w:val="24"/>
              </w:rPr>
              <w:t>Разрешително за водовземане и/или разрешително за ползване на воден обект в случаите</w:t>
            </w:r>
            <w:r w:rsidR="002B60BF" w:rsidRPr="00E41080">
              <w:rPr>
                <w:sz w:val="24"/>
                <w:szCs w:val="24"/>
              </w:rPr>
              <w:t xml:space="preserve">, предвидени в Закона за водите (когато е приложимо); </w:t>
            </w:r>
          </w:p>
          <w:p w14:paraId="02577C5D" w14:textId="602EFC73" w:rsidR="00594611" w:rsidRPr="00E41080" w:rsidRDefault="00D05BFE" w:rsidP="00594611">
            <w:pPr>
              <w:jc w:val="both"/>
              <w:rPr>
                <w:sz w:val="24"/>
                <w:szCs w:val="24"/>
              </w:rPr>
            </w:pPr>
            <w:r>
              <w:rPr>
                <w:sz w:val="24"/>
                <w:szCs w:val="24"/>
              </w:rPr>
              <w:t>6</w:t>
            </w:r>
            <w:r w:rsidR="00594611" w:rsidRPr="00E41080">
              <w:rPr>
                <w:sz w:val="24"/>
                <w:szCs w:val="24"/>
              </w:rPr>
              <w:t xml:space="preserve">. </w:t>
            </w:r>
            <w:r w:rsidR="00FB4DE8" w:rsidRPr="00E41080">
              <w:rPr>
                <w:sz w:val="24"/>
                <w:szCs w:val="24"/>
              </w:rPr>
              <w:t>Формуляр за мониторинг</w:t>
            </w:r>
            <w:r w:rsidR="006329A5">
              <w:rPr>
                <w:sz w:val="24"/>
                <w:szCs w:val="24"/>
              </w:rPr>
              <w:t>.</w:t>
            </w:r>
            <w:r w:rsidR="006329A5">
              <w:t xml:space="preserve"> </w:t>
            </w:r>
            <w:r w:rsidR="006329A5" w:rsidRPr="006329A5">
              <w:rPr>
                <w:sz w:val="24"/>
                <w:szCs w:val="24"/>
              </w:rPr>
              <w:t>Представя се във формат „pdf“ или „jpg“;</w:t>
            </w:r>
          </w:p>
          <w:p w14:paraId="12649CE3" w14:textId="287B7567" w:rsidR="00594611" w:rsidRPr="00E41080" w:rsidRDefault="00D05BFE" w:rsidP="00594611">
            <w:pPr>
              <w:jc w:val="both"/>
              <w:rPr>
                <w:sz w:val="24"/>
                <w:szCs w:val="24"/>
              </w:rPr>
            </w:pPr>
            <w:r>
              <w:rPr>
                <w:sz w:val="24"/>
                <w:szCs w:val="24"/>
              </w:rPr>
              <w:t>7</w:t>
            </w:r>
            <w:r w:rsidR="00594611" w:rsidRPr="00E41080">
              <w:rPr>
                <w:sz w:val="24"/>
                <w:szCs w:val="24"/>
              </w:rPr>
              <w:t xml:space="preserve">. Нотариално заверено изрично пълномощно – в случай че документите не се подават лично от кандидата, или заповед на кмета за кандидати общини. </w:t>
            </w:r>
            <w:r w:rsidR="00594611" w:rsidRPr="00E41080">
              <w:t xml:space="preserve"> </w:t>
            </w:r>
            <w:r w:rsidR="00594611" w:rsidRPr="00E41080">
              <w:rPr>
                <w:sz w:val="24"/>
                <w:szCs w:val="24"/>
              </w:rPr>
              <w:t>Представ</w:t>
            </w:r>
            <w:r w:rsidR="00FB4DE8" w:rsidRPr="00E41080">
              <w:rPr>
                <w:sz w:val="24"/>
                <w:szCs w:val="24"/>
              </w:rPr>
              <w:t>я се във формат „pdf“ или „jpg“;</w:t>
            </w:r>
          </w:p>
          <w:p w14:paraId="45D1EA51" w14:textId="5FC28050" w:rsidR="00594611" w:rsidRPr="00611AE6" w:rsidRDefault="00D05BFE" w:rsidP="00594611">
            <w:pPr>
              <w:jc w:val="both"/>
              <w:rPr>
                <w:sz w:val="24"/>
                <w:szCs w:val="24"/>
              </w:rPr>
            </w:pPr>
            <w:r>
              <w:rPr>
                <w:sz w:val="24"/>
                <w:szCs w:val="24"/>
              </w:rPr>
              <w:t>8</w:t>
            </w:r>
            <w:r w:rsidR="00594611" w:rsidRPr="00611AE6">
              <w:rPr>
                <w:sz w:val="24"/>
                <w:szCs w:val="24"/>
              </w:rPr>
              <w:t>. Решение на общинския съвет, че дейностите, включени в проектите, съответстват на приоритетите на общинския план за</w:t>
            </w:r>
            <w:r w:rsidR="00594611">
              <w:rPr>
                <w:sz w:val="24"/>
                <w:szCs w:val="24"/>
              </w:rPr>
              <w:t xml:space="preserve"> развитие на съответната община. </w:t>
            </w:r>
            <w:r w:rsidR="00594611" w:rsidRPr="00594611">
              <w:rPr>
                <w:sz w:val="24"/>
                <w:szCs w:val="24"/>
              </w:rPr>
              <w:t>Представ</w:t>
            </w:r>
            <w:r w:rsidR="00FB4DE8">
              <w:rPr>
                <w:sz w:val="24"/>
                <w:szCs w:val="24"/>
              </w:rPr>
              <w:t>я се във формат „pdf“ или „jpg“;</w:t>
            </w:r>
          </w:p>
          <w:p w14:paraId="185827D3" w14:textId="0B449EDD" w:rsidR="00594611" w:rsidRDefault="00D05BFE" w:rsidP="00594611">
            <w:pPr>
              <w:jc w:val="both"/>
              <w:rPr>
                <w:sz w:val="24"/>
                <w:szCs w:val="24"/>
              </w:rPr>
            </w:pPr>
            <w:r>
              <w:rPr>
                <w:sz w:val="24"/>
                <w:szCs w:val="24"/>
              </w:rPr>
              <w:t>9</w:t>
            </w:r>
            <w:r w:rsidR="00594611" w:rsidRPr="00611AE6">
              <w:rPr>
                <w:sz w:val="24"/>
                <w:szCs w:val="24"/>
              </w:rPr>
              <w:t xml:space="preserve">. </w:t>
            </w:r>
            <w:r w:rsidR="002B60BF" w:rsidRPr="002B60BF">
              <w:rPr>
                <w:sz w:val="24"/>
                <w:szCs w:val="24"/>
              </w:rPr>
              <w:t>Инвентарна книга към датата на подаване на проектно предложение към стратегията за ВОМР с разбивка по вид на актива, дата и цена на придобиване - в случай на разходи, които представляват дълготрайни материални активи съ</w:t>
            </w:r>
            <w:r w:rsidR="004E11B2">
              <w:rPr>
                <w:sz w:val="24"/>
                <w:szCs w:val="24"/>
              </w:rPr>
              <w:t>гласно Закона за счетоводството.</w:t>
            </w:r>
            <w:r w:rsidR="002B60BF" w:rsidRPr="002B60BF">
              <w:rPr>
                <w:sz w:val="24"/>
                <w:szCs w:val="24"/>
              </w:rPr>
              <w:t xml:space="preserve"> </w:t>
            </w:r>
            <w:r w:rsidR="00594611" w:rsidRPr="00594611">
              <w:rPr>
                <w:sz w:val="24"/>
                <w:szCs w:val="24"/>
              </w:rPr>
              <w:t xml:space="preserve"> Представ</w:t>
            </w:r>
            <w:r w:rsidR="00594611">
              <w:rPr>
                <w:sz w:val="24"/>
                <w:szCs w:val="24"/>
              </w:rPr>
              <w:t>я се във формат „pdf“ или „jpg“;</w:t>
            </w:r>
          </w:p>
          <w:p w14:paraId="2AB9BD38" w14:textId="29331E58" w:rsidR="00594611" w:rsidRPr="00F84DF8" w:rsidRDefault="00EC49AF" w:rsidP="00594611">
            <w:pPr>
              <w:jc w:val="both"/>
              <w:rPr>
                <w:sz w:val="24"/>
                <w:szCs w:val="24"/>
              </w:rPr>
            </w:pPr>
            <w:r>
              <w:rPr>
                <w:sz w:val="24"/>
                <w:szCs w:val="24"/>
              </w:rPr>
              <w:t>1</w:t>
            </w:r>
            <w:r w:rsidR="00D05BFE">
              <w:rPr>
                <w:sz w:val="24"/>
                <w:szCs w:val="24"/>
              </w:rPr>
              <w:t>0</w:t>
            </w:r>
            <w:r w:rsidR="00594611" w:rsidRPr="00611AE6">
              <w:rPr>
                <w:sz w:val="24"/>
                <w:szCs w:val="24"/>
              </w:rPr>
              <w:t xml:space="preserve">. Решение за преценяване на необходимостта от извършване на оценка на въздействието върху околната среда/решение по оценка на въздействие върху околната среда/решение за преценяване на необходимостта от извършване на екологична оценка/становище по </w:t>
            </w:r>
            <w:r w:rsidR="00594611" w:rsidRPr="00611AE6">
              <w:rPr>
                <w:sz w:val="24"/>
                <w:szCs w:val="24"/>
              </w:rPr>
              <w:lastRenderedPageBreak/>
              <w:t>екологична оценка/решение за преценка на вероятната степен на значително отрицателно въздействие/решение по оценка за съвместимостта/писмо/ разрешително от компетентния орган по околна среда (Регионална инспекция по околната среда и водите/Министерство на околната среда и водите/Басейнова дирекция), издадени по реда на Закона за опазване на околната среда, Закона за биологичното разнообразие и/или Закона за водите (когато е приложимо);</w:t>
            </w:r>
          </w:p>
          <w:p w14:paraId="24ABDE5E" w14:textId="4706837A" w:rsidR="00893069" w:rsidRDefault="00594611" w:rsidP="00594611">
            <w:pPr>
              <w:jc w:val="both"/>
              <w:rPr>
                <w:sz w:val="24"/>
                <w:szCs w:val="24"/>
              </w:rPr>
            </w:pPr>
            <w:r w:rsidRPr="00594611">
              <w:rPr>
                <w:sz w:val="24"/>
                <w:szCs w:val="24"/>
              </w:rPr>
              <w:t>1</w:t>
            </w:r>
            <w:r w:rsidR="00D05BFE">
              <w:rPr>
                <w:sz w:val="24"/>
                <w:szCs w:val="24"/>
              </w:rPr>
              <w:t>1</w:t>
            </w:r>
            <w:r w:rsidRPr="00594611">
              <w:rPr>
                <w:sz w:val="24"/>
                <w:szCs w:val="24"/>
              </w:rPr>
              <w:t xml:space="preserve">. </w:t>
            </w:r>
            <w:r w:rsidR="00235FF1" w:rsidRPr="00235FF1">
              <w:rPr>
                <w:sz w:val="24"/>
                <w:szCs w:val="24"/>
              </w:rPr>
              <w:t>Документ за собственост на земя и/или друг вид недвижим имот, обект на инвестицията, или документ за учредено право на строеж върху имота за срок не по-малък от 6 години, считано от датата на подаване на проектното предложение към стратегията за ВОМР (когато е учредено срочно право на строеж) или документ за ползване върху имота, валиден за срок не по-малък от 6 години, считано от датата на подаване на проектното предложение към стратегията за ВОМР, вписан в районната служба по вписванията, а в случай на договор за аренда на земя - и регистриран в съответната общинска служба по земеделие на Министерството на земеделието, храните и горите, в случаите на обновяване на сгради и/или помещения, за които не се изисква издаване на разрешение за строеж, съгласно Закона за устройство на територията;</w:t>
            </w:r>
          </w:p>
          <w:p w14:paraId="307D8215" w14:textId="65BD9A7E" w:rsidR="002E167B" w:rsidRPr="00E41080" w:rsidRDefault="00D05BFE" w:rsidP="00E41080">
            <w:pPr>
              <w:jc w:val="both"/>
              <w:rPr>
                <w:sz w:val="24"/>
                <w:szCs w:val="24"/>
              </w:rPr>
            </w:pPr>
            <w:r>
              <w:rPr>
                <w:sz w:val="24"/>
                <w:szCs w:val="24"/>
              </w:rPr>
              <w:t>12</w:t>
            </w:r>
            <w:r w:rsidR="00893069" w:rsidRPr="00A54B83">
              <w:rPr>
                <w:sz w:val="24"/>
                <w:szCs w:val="24"/>
              </w:rPr>
              <w:t xml:space="preserve">. </w:t>
            </w:r>
            <w:r w:rsidR="00594611" w:rsidRPr="00E41080">
              <w:rPr>
                <w:sz w:val="24"/>
                <w:szCs w:val="24"/>
              </w:rPr>
              <w:t xml:space="preserve"> </w:t>
            </w:r>
            <w:r w:rsidR="002E167B" w:rsidRPr="00E41080">
              <w:rPr>
                <w:color w:val="000000"/>
                <w:sz w:val="24"/>
                <w:szCs w:val="24"/>
              </w:rPr>
              <w:t xml:space="preserve">Одобрен инвестиционен проект, изработен във фаза „Технически проект" или „Работен проект (работни чертежи и детайли)", в съответствие с изискванията на Закона за устройство на територията и Наредба № 4 от 2001 г. за обхвата и съдържанието на инвестиционните проекти (ДВ, бр. 51 от 2001 г.) или заснемане на обекта/съоръжението и/или архитектурен план на сградата, съоръжението, обекта, който ще се изгражда, ремонтира или обновява, в случаите на проекти, включващи разходи за строително-монтажни работи и когато за предвидените строително-монтажни работи не се изисква одобрен инвестиционен проект съгласно Закона за устройство на територията; </w:t>
            </w:r>
          </w:p>
          <w:p w14:paraId="2FAA166A" w14:textId="126D6EF1" w:rsidR="00893069" w:rsidRDefault="001832F3" w:rsidP="00594611">
            <w:pPr>
              <w:jc w:val="both"/>
              <w:rPr>
                <w:sz w:val="24"/>
                <w:szCs w:val="24"/>
              </w:rPr>
            </w:pPr>
            <w:r w:rsidRPr="00E41080">
              <w:rPr>
                <w:sz w:val="24"/>
                <w:szCs w:val="24"/>
              </w:rPr>
              <w:t>Представя се във формат „p</w:t>
            </w:r>
            <w:r>
              <w:rPr>
                <w:sz w:val="24"/>
                <w:szCs w:val="24"/>
              </w:rPr>
              <w:t>df“ или „jpg“;</w:t>
            </w:r>
          </w:p>
          <w:p w14:paraId="00C5FD30" w14:textId="72A33C2A" w:rsidR="00893069" w:rsidRDefault="00D05BFE" w:rsidP="006D174A">
            <w:pPr>
              <w:jc w:val="both"/>
              <w:rPr>
                <w:sz w:val="24"/>
                <w:szCs w:val="24"/>
              </w:rPr>
            </w:pPr>
            <w:r>
              <w:rPr>
                <w:sz w:val="24"/>
                <w:szCs w:val="24"/>
              </w:rPr>
              <w:t>13</w:t>
            </w:r>
            <w:r w:rsidR="00893069">
              <w:rPr>
                <w:sz w:val="24"/>
                <w:szCs w:val="24"/>
              </w:rPr>
              <w:t xml:space="preserve">. </w:t>
            </w:r>
            <w:r w:rsidR="00893069" w:rsidRPr="00893069">
              <w:rPr>
                <w:sz w:val="24"/>
                <w:szCs w:val="24"/>
              </w:rPr>
              <w:t xml:space="preserve">Подробни количествени сметки за предвидените строително-монтажни работи, заверени от правоспособно лице; </w:t>
            </w:r>
            <w:r w:rsidR="001832F3">
              <w:rPr>
                <w:sz w:val="24"/>
                <w:szCs w:val="24"/>
              </w:rPr>
              <w:t xml:space="preserve"> </w:t>
            </w:r>
            <w:r w:rsidR="001832F3" w:rsidRPr="001832F3">
              <w:rPr>
                <w:sz w:val="24"/>
                <w:szCs w:val="24"/>
              </w:rPr>
              <w:t xml:space="preserve">Представя се във </w:t>
            </w:r>
            <w:r w:rsidR="001832F3">
              <w:rPr>
                <w:sz w:val="24"/>
                <w:szCs w:val="24"/>
              </w:rPr>
              <w:t>формат „pdf“ и „xls“ или „xlsx“;</w:t>
            </w:r>
          </w:p>
          <w:p w14:paraId="7044B2C1" w14:textId="14EFFBB1" w:rsidR="00893069" w:rsidRPr="00611AE6" w:rsidRDefault="00D05BFE" w:rsidP="006D174A">
            <w:pPr>
              <w:jc w:val="both"/>
              <w:rPr>
                <w:sz w:val="24"/>
                <w:szCs w:val="24"/>
              </w:rPr>
            </w:pPr>
            <w:r>
              <w:rPr>
                <w:sz w:val="24"/>
                <w:szCs w:val="24"/>
              </w:rPr>
              <w:t>14</w:t>
            </w:r>
            <w:r w:rsidR="00893069">
              <w:rPr>
                <w:sz w:val="24"/>
                <w:szCs w:val="24"/>
              </w:rPr>
              <w:t xml:space="preserve">. </w:t>
            </w:r>
            <w:r w:rsidR="00893069" w:rsidRPr="00893069">
              <w:rPr>
                <w:sz w:val="24"/>
                <w:szCs w:val="24"/>
              </w:rPr>
              <w:t>Разрешение за строеж, когато издаването му се изисква съгласно Закона за устройство на територията, или становище на главния архитект, че строежът не се нуждае от издаване на разрешение за строеж, когато издаването му не се изисква съгласно Зако</w:t>
            </w:r>
            <w:r w:rsidR="006329A5">
              <w:rPr>
                <w:sz w:val="24"/>
                <w:szCs w:val="24"/>
              </w:rPr>
              <w:t>на за устройство на територията.</w:t>
            </w:r>
            <w:r w:rsidR="00893069" w:rsidRPr="00893069">
              <w:rPr>
                <w:sz w:val="24"/>
                <w:szCs w:val="24"/>
              </w:rPr>
              <w:t xml:space="preserve"> </w:t>
            </w:r>
            <w:r w:rsidR="006D174A" w:rsidRPr="001832F3">
              <w:rPr>
                <w:sz w:val="24"/>
                <w:szCs w:val="24"/>
              </w:rPr>
              <w:t>Представ</w:t>
            </w:r>
            <w:r w:rsidR="006D174A">
              <w:rPr>
                <w:sz w:val="24"/>
                <w:szCs w:val="24"/>
              </w:rPr>
              <w:t>я се във формат „pdf“ или „jpg“;</w:t>
            </w:r>
          </w:p>
          <w:p w14:paraId="5CFD7B73" w14:textId="2B877862" w:rsidR="00893069" w:rsidRDefault="00EC49AF" w:rsidP="006D174A">
            <w:pPr>
              <w:jc w:val="both"/>
              <w:rPr>
                <w:sz w:val="24"/>
                <w:szCs w:val="24"/>
              </w:rPr>
            </w:pPr>
            <w:r>
              <w:rPr>
                <w:sz w:val="24"/>
                <w:szCs w:val="24"/>
              </w:rPr>
              <w:t>1</w:t>
            </w:r>
            <w:r w:rsidR="00D05BFE">
              <w:rPr>
                <w:sz w:val="24"/>
                <w:szCs w:val="24"/>
              </w:rPr>
              <w:t>5</w:t>
            </w:r>
            <w:r w:rsidR="006D174A" w:rsidRPr="00611AE6">
              <w:rPr>
                <w:sz w:val="24"/>
                <w:szCs w:val="24"/>
              </w:rPr>
              <w:t>. Разрешение за поставяне, издадено в съответствие със ЗУТ (важи, в случай че проектът включва разходи за преместваеми обекти и елементи на градското обзаве</w:t>
            </w:r>
            <w:r w:rsidR="006D174A">
              <w:rPr>
                <w:sz w:val="24"/>
                <w:szCs w:val="24"/>
              </w:rPr>
              <w:t xml:space="preserve">ждане). </w:t>
            </w:r>
            <w:r w:rsidR="006D174A" w:rsidRPr="001832F3">
              <w:rPr>
                <w:sz w:val="24"/>
                <w:szCs w:val="24"/>
              </w:rPr>
              <w:t>Представ</w:t>
            </w:r>
            <w:r w:rsidR="006D174A">
              <w:rPr>
                <w:sz w:val="24"/>
                <w:szCs w:val="24"/>
              </w:rPr>
              <w:t>я се във формат „pdf“ или „jpg“;</w:t>
            </w:r>
          </w:p>
          <w:p w14:paraId="5C19D5ED" w14:textId="3F64AC06" w:rsidR="00893069" w:rsidRPr="00893069" w:rsidRDefault="00D05BFE" w:rsidP="00893069">
            <w:pPr>
              <w:jc w:val="both"/>
              <w:rPr>
                <w:sz w:val="24"/>
                <w:szCs w:val="24"/>
              </w:rPr>
            </w:pPr>
            <w:r>
              <w:rPr>
                <w:sz w:val="24"/>
                <w:szCs w:val="24"/>
              </w:rPr>
              <w:t>16</w:t>
            </w:r>
            <w:r w:rsidR="00893069">
              <w:rPr>
                <w:sz w:val="24"/>
                <w:szCs w:val="24"/>
              </w:rPr>
              <w:t xml:space="preserve">. </w:t>
            </w:r>
            <w:r w:rsidR="00893069" w:rsidRPr="00893069">
              <w:rPr>
                <w:sz w:val="24"/>
                <w:szCs w:val="24"/>
              </w:rPr>
              <w:t xml:space="preserve">Съгласуване с Министерството на културата с писмено становище и заверка с печат върху графичните материали на проектната документация, изготвена по реда на глава 23 от Наредба № 4 от 2001 г. за обхвата и съдържанието на инвестиционните проекти (изисква се само за инвестиционни проекти, които включват обекти </w:t>
            </w:r>
            <w:r w:rsidR="00A54B83">
              <w:rPr>
                <w:sz w:val="24"/>
                <w:szCs w:val="24"/>
              </w:rPr>
              <w:t>- недвижими културни ценности);</w:t>
            </w:r>
          </w:p>
          <w:p w14:paraId="77396D6F" w14:textId="63630237" w:rsidR="00893069" w:rsidRDefault="00D05BFE" w:rsidP="006D174A">
            <w:pPr>
              <w:jc w:val="both"/>
              <w:rPr>
                <w:sz w:val="24"/>
                <w:szCs w:val="24"/>
              </w:rPr>
            </w:pPr>
            <w:r>
              <w:rPr>
                <w:sz w:val="24"/>
                <w:szCs w:val="24"/>
              </w:rPr>
              <w:lastRenderedPageBreak/>
              <w:t>17</w:t>
            </w:r>
            <w:r w:rsidR="00893069">
              <w:rPr>
                <w:sz w:val="24"/>
                <w:szCs w:val="24"/>
              </w:rPr>
              <w:t xml:space="preserve">. </w:t>
            </w:r>
            <w:r w:rsidR="00893069" w:rsidRPr="00893069">
              <w:rPr>
                <w:sz w:val="24"/>
                <w:szCs w:val="24"/>
              </w:rPr>
              <w:t xml:space="preserve">Удостоверение от Националния институт за недвижимо културно наследство за статута на обекта като недвижима културна </w:t>
            </w:r>
            <w:r w:rsidR="00F44AFC">
              <w:rPr>
                <w:sz w:val="24"/>
                <w:szCs w:val="24"/>
              </w:rPr>
              <w:t>ценност във връзка с т. 17</w:t>
            </w:r>
            <w:r w:rsidR="00893069" w:rsidRPr="00893069">
              <w:rPr>
                <w:sz w:val="24"/>
                <w:szCs w:val="24"/>
              </w:rPr>
              <w:t xml:space="preserve">; </w:t>
            </w:r>
          </w:p>
          <w:p w14:paraId="1684C235" w14:textId="3550561D" w:rsidR="006D174A" w:rsidRDefault="00D05BFE" w:rsidP="006D174A">
            <w:pPr>
              <w:jc w:val="both"/>
              <w:rPr>
                <w:sz w:val="24"/>
                <w:szCs w:val="24"/>
              </w:rPr>
            </w:pPr>
            <w:r>
              <w:rPr>
                <w:sz w:val="24"/>
                <w:szCs w:val="24"/>
              </w:rPr>
              <w:t>18</w:t>
            </w:r>
            <w:r w:rsidR="00A54B83">
              <w:rPr>
                <w:sz w:val="24"/>
                <w:szCs w:val="24"/>
              </w:rPr>
              <w:t xml:space="preserve">. </w:t>
            </w:r>
            <w:r w:rsidR="002B60BF" w:rsidRPr="002B60BF">
              <w:rPr>
                <w:sz w:val="24"/>
                <w:szCs w:val="24"/>
              </w:rPr>
              <w:t>Лицензи, разрешения и/или друг документ, удостоверяващ регистрацията, в случаите на предвидени разходи за дейности и инвестиции, за които се изисква лицензиране, разрешение и/или регистрация за извършване на дейността/инвестицията съгласно българското законодателство и неупоме</w:t>
            </w:r>
            <w:r w:rsidR="00B65D81">
              <w:rPr>
                <w:sz w:val="24"/>
                <w:szCs w:val="24"/>
              </w:rPr>
              <w:t>нати изрично в настоящия списък</w:t>
            </w:r>
            <w:r w:rsidR="006D174A">
              <w:rPr>
                <w:sz w:val="24"/>
                <w:szCs w:val="24"/>
              </w:rPr>
              <w:t xml:space="preserve">. </w:t>
            </w:r>
            <w:r w:rsidR="006D174A" w:rsidRPr="001832F3">
              <w:rPr>
                <w:sz w:val="24"/>
                <w:szCs w:val="24"/>
              </w:rPr>
              <w:t>Представ</w:t>
            </w:r>
            <w:r w:rsidR="006D174A">
              <w:rPr>
                <w:sz w:val="24"/>
                <w:szCs w:val="24"/>
              </w:rPr>
              <w:t>я се във формат „pdf“ или „jpg“;</w:t>
            </w:r>
          </w:p>
          <w:p w14:paraId="71AEC2E8" w14:textId="7418C8DD" w:rsidR="00BA3F85" w:rsidRPr="00B624D6" w:rsidRDefault="00D05BFE" w:rsidP="006D174A">
            <w:pPr>
              <w:jc w:val="both"/>
              <w:rPr>
                <w:sz w:val="24"/>
                <w:szCs w:val="24"/>
              </w:rPr>
            </w:pPr>
            <w:r>
              <w:rPr>
                <w:sz w:val="24"/>
                <w:szCs w:val="24"/>
              </w:rPr>
              <w:t>19</w:t>
            </w:r>
            <w:r w:rsidR="006A7C03" w:rsidRPr="006A7C03">
              <w:rPr>
                <w:sz w:val="24"/>
                <w:szCs w:val="24"/>
              </w:rPr>
              <w:t xml:space="preserve">. </w:t>
            </w:r>
            <w:r w:rsidR="00A54B83" w:rsidRPr="00A54B83">
              <w:rPr>
                <w:sz w:val="24"/>
                <w:szCs w:val="24"/>
              </w:rPr>
              <w:t>Договор за финансов лизинг с приложен към него погасителен план за изплащане на лизинговите вноски, в случай че проектът включва разходи за закупуване на активи чрез финансов лизинг</w:t>
            </w:r>
            <w:r w:rsidR="00A54B83">
              <w:rPr>
                <w:sz w:val="24"/>
                <w:szCs w:val="24"/>
              </w:rPr>
              <w:t>.</w:t>
            </w:r>
            <w:r w:rsidR="00A54B83" w:rsidRPr="00A54B83" w:rsidDel="00A54B83">
              <w:rPr>
                <w:sz w:val="24"/>
                <w:szCs w:val="24"/>
              </w:rPr>
              <w:t xml:space="preserve"> </w:t>
            </w:r>
            <w:r w:rsidR="006A7C03" w:rsidRPr="001832F3">
              <w:rPr>
                <w:sz w:val="24"/>
                <w:szCs w:val="24"/>
              </w:rPr>
              <w:t>Представ</w:t>
            </w:r>
            <w:r w:rsidR="00B624D6">
              <w:rPr>
                <w:sz w:val="24"/>
                <w:szCs w:val="24"/>
              </w:rPr>
              <w:t>я се във формат „pdf“ или „jpg“.</w:t>
            </w:r>
            <w:r w:rsidR="00B624D6">
              <w:rPr>
                <w:sz w:val="24"/>
                <w:szCs w:val="24"/>
                <w:lang w:val="en-US"/>
              </w:rPr>
              <w:t xml:space="preserve"> (</w:t>
            </w:r>
            <w:r w:rsidR="00B624D6">
              <w:rPr>
                <w:sz w:val="24"/>
                <w:szCs w:val="24"/>
              </w:rPr>
              <w:t>неприложимо за общини</w:t>
            </w:r>
            <w:r w:rsidR="00B624D6">
              <w:rPr>
                <w:sz w:val="24"/>
                <w:szCs w:val="24"/>
                <w:lang w:val="en-US"/>
              </w:rPr>
              <w:t>)</w:t>
            </w:r>
            <w:r w:rsidR="00B624D6">
              <w:rPr>
                <w:sz w:val="24"/>
                <w:szCs w:val="24"/>
              </w:rPr>
              <w:t>;</w:t>
            </w:r>
          </w:p>
          <w:p w14:paraId="73DD6213" w14:textId="7FAACCFB" w:rsidR="00527B77" w:rsidRDefault="00D05BFE" w:rsidP="006D174A">
            <w:pPr>
              <w:jc w:val="both"/>
              <w:rPr>
                <w:sz w:val="24"/>
                <w:szCs w:val="24"/>
              </w:rPr>
            </w:pPr>
            <w:r>
              <w:rPr>
                <w:sz w:val="24"/>
                <w:szCs w:val="24"/>
              </w:rPr>
              <w:t>20</w:t>
            </w:r>
            <w:r w:rsidR="00527B77" w:rsidRPr="00527B77">
              <w:rPr>
                <w:sz w:val="24"/>
                <w:szCs w:val="24"/>
              </w:rPr>
              <w:t>. Една независима оферта в оригинал</w:t>
            </w:r>
            <w:r w:rsidR="00806BF5">
              <w:rPr>
                <w:sz w:val="24"/>
                <w:szCs w:val="24"/>
              </w:rPr>
              <w:t>. П</w:t>
            </w:r>
            <w:r w:rsidR="00527B77" w:rsidRPr="00527B77">
              <w:rPr>
                <w:sz w:val="24"/>
                <w:szCs w:val="24"/>
              </w:rPr>
              <w:t>редставя се във формат „pdf“ или „jpg“;</w:t>
            </w:r>
          </w:p>
          <w:p w14:paraId="2505FCFC" w14:textId="0B20CA18" w:rsidR="006A7C03" w:rsidRDefault="00D05BFE" w:rsidP="006D174A">
            <w:pPr>
              <w:jc w:val="both"/>
              <w:rPr>
                <w:sz w:val="24"/>
                <w:szCs w:val="24"/>
              </w:rPr>
            </w:pPr>
            <w:r>
              <w:rPr>
                <w:sz w:val="24"/>
                <w:szCs w:val="24"/>
              </w:rPr>
              <w:t>21</w:t>
            </w:r>
            <w:r w:rsidR="00BA3F85">
              <w:rPr>
                <w:sz w:val="24"/>
                <w:szCs w:val="24"/>
              </w:rPr>
              <w:t xml:space="preserve">. </w:t>
            </w:r>
            <w:r w:rsidR="006A7C03" w:rsidRPr="00611AE6">
              <w:rPr>
                <w:sz w:val="24"/>
                <w:szCs w:val="24"/>
              </w:rPr>
              <w:t xml:space="preserve"> Най-малко три съпоставими независими оферти в оригинал</w:t>
            </w:r>
            <w:r w:rsidR="00806BF5">
              <w:rPr>
                <w:sz w:val="24"/>
                <w:szCs w:val="24"/>
              </w:rPr>
              <w:t xml:space="preserve">. </w:t>
            </w:r>
            <w:r w:rsidR="006A7C03" w:rsidRPr="001832F3">
              <w:rPr>
                <w:sz w:val="24"/>
                <w:szCs w:val="24"/>
              </w:rPr>
              <w:t>Представ</w:t>
            </w:r>
            <w:r w:rsidR="006A7C03">
              <w:rPr>
                <w:sz w:val="24"/>
                <w:szCs w:val="24"/>
              </w:rPr>
              <w:t>я</w:t>
            </w:r>
            <w:r w:rsidR="00806BF5">
              <w:rPr>
                <w:sz w:val="24"/>
                <w:szCs w:val="24"/>
              </w:rPr>
              <w:t>т</w:t>
            </w:r>
            <w:r w:rsidR="006A7C03">
              <w:rPr>
                <w:sz w:val="24"/>
                <w:szCs w:val="24"/>
              </w:rPr>
              <w:t xml:space="preserve"> се във формат „pdf“ или „jpg“;</w:t>
            </w:r>
          </w:p>
          <w:p w14:paraId="0B61CCA6" w14:textId="0170B9A0" w:rsidR="006A7C03" w:rsidRDefault="00EC49AF" w:rsidP="006A7C03">
            <w:pPr>
              <w:jc w:val="both"/>
              <w:rPr>
                <w:sz w:val="24"/>
                <w:szCs w:val="24"/>
              </w:rPr>
            </w:pPr>
            <w:r>
              <w:rPr>
                <w:sz w:val="24"/>
                <w:szCs w:val="24"/>
              </w:rPr>
              <w:t>2</w:t>
            </w:r>
            <w:r w:rsidR="00D05BFE">
              <w:rPr>
                <w:sz w:val="24"/>
                <w:szCs w:val="24"/>
              </w:rPr>
              <w:t>2</w:t>
            </w:r>
            <w:r w:rsidR="006A7C03" w:rsidRPr="006A7C03">
              <w:rPr>
                <w:sz w:val="24"/>
                <w:szCs w:val="24"/>
              </w:rPr>
              <w:t>. В случаите, когато оферентите са чуждестранни лица, следва да представят документ за правосубектност съгласно н</w:t>
            </w:r>
            <w:r w:rsidR="006A7C03">
              <w:rPr>
                <w:sz w:val="24"/>
                <w:szCs w:val="24"/>
              </w:rPr>
              <w:t xml:space="preserve">ационалното им законодателство. </w:t>
            </w:r>
            <w:r w:rsidR="006A7C03" w:rsidRPr="006A7C03">
              <w:rPr>
                <w:sz w:val="24"/>
                <w:szCs w:val="24"/>
              </w:rPr>
              <w:t>Представ</w:t>
            </w:r>
            <w:r w:rsidR="006A7C03">
              <w:rPr>
                <w:sz w:val="24"/>
                <w:szCs w:val="24"/>
              </w:rPr>
              <w:t>я се във формат „pdf“ или „jpg”;</w:t>
            </w:r>
          </w:p>
          <w:p w14:paraId="3204106F" w14:textId="4CAAC38E" w:rsidR="00BA3F85" w:rsidRDefault="00D05BFE" w:rsidP="006A7C03">
            <w:pPr>
              <w:jc w:val="both"/>
              <w:rPr>
                <w:sz w:val="24"/>
                <w:szCs w:val="24"/>
              </w:rPr>
            </w:pPr>
            <w:r>
              <w:rPr>
                <w:sz w:val="24"/>
                <w:szCs w:val="24"/>
              </w:rPr>
              <w:t>23</w:t>
            </w:r>
            <w:r w:rsidR="00BA3F85">
              <w:rPr>
                <w:sz w:val="24"/>
                <w:szCs w:val="24"/>
              </w:rPr>
              <w:t xml:space="preserve">. </w:t>
            </w:r>
            <w:r w:rsidR="00BA3F85" w:rsidRPr="00BA3F85">
              <w:rPr>
                <w:sz w:val="24"/>
                <w:szCs w:val="24"/>
              </w:rPr>
              <w:t>Документи за проведен избор на изпълнител по Закона за обществените поръчки за кандидати, които са възложители по Закона за обществените поръчки (когато е приложимо);</w:t>
            </w:r>
          </w:p>
          <w:p w14:paraId="4E2B39C0" w14:textId="5041C6EB" w:rsidR="000621E7" w:rsidRPr="00611AE6" w:rsidRDefault="00EC49AF" w:rsidP="000621E7">
            <w:pPr>
              <w:jc w:val="both"/>
              <w:rPr>
                <w:sz w:val="24"/>
                <w:szCs w:val="24"/>
              </w:rPr>
            </w:pPr>
            <w:r>
              <w:rPr>
                <w:sz w:val="24"/>
                <w:szCs w:val="24"/>
              </w:rPr>
              <w:t>2</w:t>
            </w:r>
            <w:r w:rsidR="00D05BFE">
              <w:rPr>
                <w:sz w:val="24"/>
                <w:szCs w:val="24"/>
              </w:rPr>
              <w:t>4</w:t>
            </w:r>
            <w:r w:rsidR="000621E7" w:rsidRPr="00611AE6">
              <w:rPr>
                <w:sz w:val="24"/>
                <w:szCs w:val="24"/>
              </w:rPr>
              <w:t xml:space="preserve">. </w:t>
            </w:r>
            <w:r w:rsidR="002B60BF" w:rsidRPr="002B60BF">
              <w:rPr>
                <w:sz w:val="24"/>
                <w:szCs w:val="24"/>
              </w:rPr>
              <w:t>Анализ разх</w:t>
            </w:r>
            <w:r w:rsidR="00456FCC">
              <w:rPr>
                <w:sz w:val="24"/>
                <w:szCs w:val="24"/>
              </w:rPr>
              <w:t>оди-ползи (финансов анализ)</w:t>
            </w:r>
            <w:r w:rsidR="0071606E">
              <w:rPr>
                <w:sz w:val="24"/>
                <w:szCs w:val="24"/>
              </w:rPr>
              <w:t xml:space="preserve"> - </w:t>
            </w:r>
            <w:r w:rsidR="00274D04">
              <w:rPr>
                <w:sz w:val="24"/>
                <w:szCs w:val="24"/>
              </w:rPr>
              <w:t xml:space="preserve">(Приложение </w:t>
            </w:r>
            <w:r w:rsidR="00EA00EA">
              <w:rPr>
                <w:sz w:val="24"/>
                <w:szCs w:val="24"/>
              </w:rPr>
              <w:t>№ 9</w:t>
            </w:r>
            <w:r w:rsidR="00274D04">
              <w:rPr>
                <w:sz w:val="24"/>
                <w:szCs w:val="24"/>
              </w:rPr>
              <w:t>.1 и Приложе</w:t>
            </w:r>
            <w:r w:rsidR="00EA00EA">
              <w:rPr>
                <w:sz w:val="24"/>
                <w:szCs w:val="24"/>
              </w:rPr>
              <w:t>ние 9</w:t>
            </w:r>
            <w:r w:rsidR="00274D04">
              <w:rPr>
                <w:sz w:val="24"/>
                <w:szCs w:val="24"/>
              </w:rPr>
              <w:t>.2.)</w:t>
            </w:r>
            <w:r w:rsidR="002B60BF" w:rsidRPr="002B60BF">
              <w:rPr>
                <w:sz w:val="24"/>
                <w:szCs w:val="24"/>
              </w:rPr>
              <w:t>;</w:t>
            </w:r>
          </w:p>
          <w:p w14:paraId="39448929" w14:textId="6BD26EC1" w:rsidR="00611AE6" w:rsidRPr="00611AE6" w:rsidRDefault="00D05BFE" w:rsidP="00611AE6">
            <w:pPr>
              <w:jc w:val="both"/>
              <w:rPr>
                <w:sz w:val="24"/>
                <w:szCs w:val="24"/>
              </w:rPr>
            </w:pPr>
            <w:r>
              <w:rPr>
                <w:sz w:val="24"/>
                <w:szCs w:val="24"/>
              </w:rPr>
              <w:t>25</w:t>
            </w:r>
            <w:r w:rsidR="00611AE6" w:rsidRPr="00611AE6">
              <w:rPr>
                <w:sz w:val="24"/>
                <w:szCs w:val="24"/>
              </w:rPr>
              <w:t>.  Решение на компетентния орган на ЮЛНЦ за кандидатстване по реда на настоящата процедура</w:t>
            </w:r>
            <w:r w:rsidR="00B624D6">
              <w:rPr>
                <w:sz w:val="24"/>
                <w:szCs w:val="24"/>
              </w:rPr>
              <w:t>. (неприложимо за общини)</w:t>
            </w:r>
            <w:r w:rsidR="00611AE6" w:rsidRPr="00611AE6">
              <w:rPr>
                <w:sz w:val="24"/>
                <w:szCs w:val="24"/>
              </w:rPr>
              <w:t>;</w:t>
            </w:r>
          </w:p>
          <w:p w14:paraId="6ACCA561" w14:textId="438E6001" w:rsidR="00A54E0A" w:rsidRDefault="00F84DF8" w:rsidP="00611AE6">
            <w:pPr>
              <w:jc w:val="both"/>
              <w:rPr>
                <w:sz w:val="24"/>
                <w:szCs w:val="24"/>
              </w:rPr>
            </w:pPr>
            <w:r>
              <w:rPr>
                <w:sz w:val="24"/>
                <w:szCs w:val="24"/>
              </w:rPr>
              <w:t>26</w:t>
            </w:r>
            <w:r w:rsidR="00A54B83">
              <w:rPr>
                <w:sz w:val="24"/>
                <w:szCs w:val="24"/>
              </w:rPr>
              <w:t xml:space="preserve">. </w:t>
            </w:r>
            <w:r w:rsidR="002B60BF" w:rsidRPr="002B60BF">
              <w:rPr>
                <w:sz w:val="24"/>
                <w:szCs w:val="24"/>
              </w:rPr>
              <w:t xml:space="preserve">Копие от учредителен акт или устав, когато кандидат/получател е лице, регистрирано по Закона за юридическите лица с нестопанска цел или </w:t>
            </w:r>
            <w:r w:rsidR="002B60BF">
              <w:rPr>
                <w:sz w:val="24"/>
                <w:szCs w:val="24"/>
              </w:rPr>
              <w:t>по Закона за народните читалища</w:t>
            </w:r>
            <w:r w:rsidR="002B60BF" w:rsidRPr="002B60BF">
              <w:rPr>
                <w:sz w:val="24"/>
                <w:szCs w:val="24"/>
              </w:rPr>
              <w:t xml:space="preserve"> </w:t>
            </w:r>
            <w:r w:rsidR="00611AE6" w:rsidRPr="00611AE6">
              <w:rPr>
                <w:sz w:val="24"/>
                <w:szCs w:val="24"/>
              </w:rPr>
              <w:t>(</w:t>
            </w:r>
            <w:r w:rsidR="00B624D6">
              <w:rPr>
                <w:sz w:val="24"/>
                <w:szCs w:val="24"/>
              </w:rPr>
              <w:t>неприложимо за</w:t>
            </w:r>
            <w:r w:rsidR="00611AE6" w:rsidRPr="00611AE6">
              <w:rPr>
                <w:sz w:val="24"/>
                <w:szCs w:val="24"/>
              </w:rPr>
              <w:t xml:space="preserve"> общини);</w:t>
            </w:r>
          </w:p>
          <w:p w14:paraId="50FEA27A" w14:textId="2399BD87" w:rsidR="00A54E0A" w:rsidRDefault="00F84DF8" w:rsidP="00611AE6">
            <w:pPr>
              <w:jc w:val="both"/>
              <w:rPr>
                <w:sz w:val="24"/>
                <w:szCs w:val="24"/>
              </w:rPr>
            </w:pPr>
            <w:r>
              <w:rPr>
                <w:sz w:val="24"/>
                <w:szCs w:val="24"/>
              </w:rPr>
              <w:t>27</w:t>
            </w:r>
            <w:r w:rsidR="00A54B83">
              <w:rPr>
                <w:sz w:val="24"/>
                <w:szCs w:val="24"/>
              </w:rPr>
              <w:t xml:space="preserve">. </w:t>
            </w:r>
            <w:r w:rsidR="00A54E0A" w:rsidRPr="00A54E0A">
              <w:rPr>
                <w:sz w:val="24"/>
                <w:szCs w:val="24"/>
              </w:rPr>
              <w:t>Справка за дълготрайните активи - приложение към счетоводния баланс за предходната финансова година и/или за последния отчетен период (за юридически лица и еднолични търговци)</w:t>
            </w:r>
            <w:r w:rsidR="00B624D6">
              <w:rPr>
                <w:sz w:val="24"/>
                <w:szCs w:val="24"/>
              </w:rPr>
              <w:t xml:space="preserve"> (неприложимо за общини)</w:t>
            </w:r>
            <w:r w:rsidR="00A54E0A" w:rsidRPr="00A54E0A">
              <w:rPr>
                <w:sz w:val="24"/>
                <w:szCs w:val="24"/>
              </w:rPr>
              <w:t>;</w:t>
            </w:r>
          </w:p>
          <w:p w14:paraId="379182DF" w14:textId="50CC1970" w:rsidR="00611AE6" w:rsidRPr="00611AE6" w:rsidRDefault="00F84DF8" w:rsidP="00611AE6">
            <w:pPr>
              <w:jc w:val="both"/>
              <w:rPr>
                <w:sz w:val="24"/>
                <w:szCs w:val="24"/>
              </w:rPr>
            </w:pPr>
            <w:r>
              <w:rPr>
                <w:sz w:val="24"/>
                <w:szCs w:val="24"/>
              </w:rPr>
              <w:t>28</w:t>
            </w:r>
            <w:r w:rsidR="00611AE6" w:rsidRPr="00611AE6">
              <w:rPr>
                <w:sz w:val="24"/>
                <w:szCs w:val="24"/>
              </w:rPr>
              <w:t>. Декларация в оригинал по чл. 4</w:t>
            </w:r>
            <w:r w:rsidR="000621E7">
              <w:rPr>
                <w:sz w:val="24"/>
                <w:szCs w:val="24"/>
              </w:rPr>
              <w:t>а, ал. 1</w:t>
            </w:r>
            <w:r w:rsidR="00611AE6" w:rsidRPr="00611AE6">
              <w:rPr>
                <w:sz w:val="24"/>
                <w:szCs w:val="24"/>
              </w:rPr>
              <w:t xml:space="preserve"> </w:t>
            </w:r>
            <w:r w:rsidR="000621E7">
              <w:rPr>
                <w:sz w:val="24"/>
                <w:szCs w:val="24"/>
              </w:rPr>
              <w:t>Закона за малките и средните предприятия по образец, утвърден от министъра на икономиката и енергетиката, когато е приложимо</w:t>
            </w:r>
            <w:r w:rsidR="00B624D6">
              <w:rPr>
                <w:sz w:val="24"/>
                <w:szCs w:val="24"/>
              </w:rPr>
              <w:t>. (неприложимо за общини)</w:t>
            </w:r>
            <w:r w:rsidR="00594611">
              <w:rPr>
                <w:sz w:val="24"/>
                <w:szCs w:val="24"/>
              </w:rPr>
              <w:t>;</w:t>
            </w:r>
          </w:p>
          <w:p w14:paraId="0BAB0444" w14:textId="32F89DB5" w:rsidR="00611AE6" w:rsidRPr="00611AE6" w:rsidRDefault="00F84DF8" w:rsidP="00611AE6">
            <w:pPr>
              <w:jc w:val="both"/>
              <w:rPr>
                <w:sz w:val="24"/>
                <w:szCs w:val="24"/>
              </w:rPr>
            </w:pPr>
            <w:r>
              <w:rPr>
                <w:sz w:val="24"/>
                <w:szCs w:val="24"/>
              </w:rPr>
              <w:t>29</w:t>
            </w:r>
            <w:r w:rsidR="00611AE6" w:rsidRPr="00611AE6">
              <w:rPr>
                <w:sz w:val="24"/>
                <w:szCs w:val="24"/>
              </w:rPr>
              <w:t>. Фактури, придружени с платежни нареждания, за извършени разходи преди подаване на проектното предложение към стратегията за ВОМР за разходи за предпроектни проучвания, такси, възнаграждение на архитекти, инженери и консултантски услуги, извършени след 1 януари 2014</w:t>
            </w:r>
            <w:r w:rsidR="007A440D">
              <w:rPr>
                <w:sz w:val="24"/>
                <w:szCs w:val="24"/>
              </w:rPr>
              <w:t xml:space="preserve"> г., ведно с банкови извлечения;</w:t>
            </w:r>
          </w:p>
          <w:p w14:paraId="3ACF6B23" w14:textId="1CD7E617" w:rsidR="00611AE6" w:rsidRPr="00611AE6" w:rsidRDefault="00EC49AF" w:rsidP="00611AE6">
            <w:pPr>
              <w:jc w:val="both"/>
              <w:rPr>
                <w:sz w:val="24"/>
                <w:szCs w:val="24"/>
              </w:rPr>
            </w:pPr>
            <w:r>
              <w:rPr>
                <w:sz w:val="24"/>
                <w:szCs w:val="24"/>
              </w:rPr>
              <w:t>3</w:t>
            </w:r>
            <w:r w:rsidR="00F84DF8">
              <w:rPr>
                <w:sz w:val="24"/>
                <w:szCs w:val="24"/>
              </w:rPr>
              <w:t>0</w:t>
            </w:r>
            <w:r w:rsidR="00611AE6" w:rsidRPr="00611AE6">
              <w:rPr>
                <w:sz w:val="24"/>
                <w:szCs w:val="24"/>
              </w:rPr>
              <w:t xml:space="preserve">. Одобрен технически/технологичен проект, придружен от предпроектно проучване, изготвен и съгласуван от правоспособно лице - за инвестиции за производство на енергия от възобновяеми енергийни източници; </w:t>
            </w:r>
          </w:p>
          <w:p w14:paraId="424DEDAA" w14:textId="7BE20CA4" w:rsidR="00611AE6" w:rsidRPr="00611AE6" w:rsidRDefault="00EC49AF" w:rsidP="00611AE6">
            <w:pPr>
              <w:jc w:val="both"/>
              <w:rPr>
                <w:sz w:val="24"/>
                <w:szCs w:val="24"/>
              </w:rPr>
            </w:pPr>
            <w:r>
              <w:rPr>
                <w:sz w:val="24"/>
                <w:szCs w:val="24"/>
              </w:rPr>
              <w:t>3</w:t>
            </w:r>
            <w:r w:rsidR="00F84DF8">
              <w:rPr>
                <w:sz w:val="24"/>
                <w:szCs w:val="24"/>
              </w:rPr>
              <w:t>1</w:t>
            </w:r>
            <w:r w:rsidR="00611AE6" w:rsidRPr="00611AE6">
              <w:rPr>
                <w:sz w:val="24"/>
                <w:szCs w:val="24"/>
              </w:rPr>
              <w:t>. Удостоверение за ползван патент и/или удостоверение за полезен модел или внедряване на инвестиции, когато е приложимо;</w:t>
            </w:r>
          </w:p>
          <w:p w14:paraId="2E37E431" w14:textId="245CDB9D" w:rsidR="00296038" w:rsidRDefault="00F84DF8" w:rsidP="005D29D8">
            <w:pPr>
              <w:jc w:val="both"/>
              <w:rPr>
                <w:sz w:val="24"/>
                <w:szCs w:val="24"/>
              </w:rPr>
            </w:pPr>
            <w:r>
              <w:rPr>
                <w:sz w:val="24"/>
                <w:szCs w:val="24"/>
              </w:rPr>
              <w:lastRenderedPageBreak/>
              <w:t>32</w:t>
            </w:r>
            <w:r w:rsidR="00611AE6" w:rsidRPr="00611AE6">
              <w:rPr>
                <w:sz w:val="24"/>
                <w:szCs w:val="24"/>
              </w:rPr>
              <w:t xml:space="preserve">. Декларация за </w:t>
            </w:r>
            <w:r w:rsidR="000621E7">
              <w:rPr>
                <w:sz w:val="24"/>
                <w:szCs w:val="24"/>
              </w:rPr>
              <w:t>генериране на нетни приходи</w:t>
            </w:r>
            <w:r w:rsidR="00296038">
              <w:rPr>
                <w:sz w:val="24"/>
                <w:szCs w:val="24"/>
              </w:rPr>
              <w:t>;</w:t>
            </w:r>
          </w:p>
          <w:p w14:paraId="0AA58F69" w14:textId="59ACFF0B" w:rsidR="00296038" w:rsidRPr="00296038" w:rsidRDefault="00F84DF8" w:rsidP="00296038">
            <w:pPr>
              <w:jc w:val="both"/>
              <w:rPr>
                <w:sz w:val="24"/>
                <w:szCs w:val="24"/>
              </w:rPr>
            </w:pPr>
            <w:r>
              <w:rPr>
                <w:sz w:val="24"/>
                <w:szCs w:val="24"/>
              </w:rPr>
              <w:t>33</w:t>
            </w:r>
            <w:r w:rsidR="00296038">
              <w:rPr>
                <w:sz w:val="24"/>
                <w:szCs w:val="24"/>
              </w:rPr>
              <w:t xml:space="preserve">. </w:t>
            </w:r>
            <w:r w:rsidR="00296038" w:rsidRPr="00296038">
              <w:rPr>
                <w:sz w:val="24"/>
                <w:szCs w:val="24"/>
              </w:rPr>
              <w:t>Годишен финансово-счетоводен отчет, от който да е видно финансово-счетоводно</w:t>
            </w:r>
          </w:p>
          <w:p w14:paraId="0C7B744F" w14:textId="77777777" w:rsidR="00296038" w:rsidRPr="00296038" w:rsidRDefault="00296038" w:rsidP="00296038">
            <w:pPr>
              <w:jc w:val="both"/>
              <w:rPr>
                <w:sz w:val="24"/>
                <w:szCs w:val="24"/>
              </w:rPr>
            </w:pPr>
            <w:r w:rsidRPr="00296038">
              <w:rPr>
                <w:sz w:val="24"/>
                <w:szCs w:val="24"/>
              </w:rPr>
              <w:t>(в т. ч. аналитично) обособяване на икономическата и неикономическа дейност -</w:t>
            </w:r>
          </w:p>
          <w:p w14:paraId="62BF8F6D" w14:textId="0B31744F" w:rsidR="004B253B" w:rsidRDefault="00456FCC" w:rsidP="00296038">
            <w:pPr>
              <w:jc w:val="both"/>
              <w:rPr>
                <w:sz w:val="24"/>
                <w:szCs w:val="24"/>
              </w:rPr>
            </w:pPr>
            <w:r>
              <w:rPr>
                <w:sz w:val="24"/>
                <w:szCs w:val="24"/>
              </w:rPr>
              <w:t>„pdf“/“jp</w:t>
            </w:r>
            <w:r>
              <w:rPr>
                <w:sz w:val="24"/>
                <w:szCs w:val="24"/>
                <w:lang w:val="en-US"/>
              </w:rPr>
              <w:t>g</w:t>
            </w:r>
            <w:r w:rsidR="001429BC">
              <w:rPr>
                <w:sz w:val="24"/>
                <w:szCs w:val="24"/>
              </w:rPr>
              <w:t>”. (неприложимо за общини);</w:t>
            </w:r>
          </w:p>
          <w:p w14:paraId="10D3200B" w14:textId="789E9AB2" w:rsidR="00375B01" w:rsidRDefault="00F84DF8" w:rsidP="00296038">
            <w:pPr>
              <w:jc w:val="both"/>
              <w:rPr>
                <w:sz w:val="24"/>
                <w:szCs w:val="24"/>
              </w:rPr>
            </w:pPr>
            <w:r>
              <w:rPr>
                <w:sz w:val="24"/>
                <w:szCs w:val="24"/>
              </w:rPr>
              <w:t>34</w:t>
            </w:r>
            <w:r w:rsidR="00375B01">
              <w:rPr>
                <w:sz w:val="24"/>
                <w:szCs w:val="24"/>
              </w:rPr>
              <w:t xml:space="preserve">. Декларация за липса или наличие на двойно финансиране по проекта - </w:t>
            </w:r>
            <w:r w:rsidR="00375B01" w:rsidRPr="00375B01">
              <w:rPr>
                <w:sz w:val="24"/>
                <w:szCs w:val="24"/>
              </w:rPr>
              <w:t>„pdf“/“jpg”;</w:t>
            </w:r>
          </w:p>
          <w:p w14:paraId="77BD46A8" w14:textId="0CCEAE31" w:rsidR="00375B01" w:rsidRDefault="00F84DF8" w:rsidP="00296038">
            <w:pPr>
              <w:jc w:val="both"/>
              <w:rPr>
                <w:sz w:val="24"/>
                <w:szCs w:val="24"/>
              </w:rPr>
            </w:pPr>
            <w:r>
              <w:rPr>
                <w:sz w:val="24"/>
                <w:szCs w:val="24"/>
              </w:rPr>
              <w:t>35</w:t>
            </w:r>
            <w:r w:rsidR="00375B01">
              <w:rPr>
                <w:sz w:val="24"/>
                <w:szCs w:val="24"/>
              </w:rPr>
              <w:t>. Декларация за липса на изкуствено създадени условия -„p</w:t>
            </w:r>
            <w:r w:rsidR="006E6AB8">
              <w:rPr>
                <w:sz w:val="24"/>
                <w:szCs w:val="24"/>
              </w:rPr>
              <w:t>df“/“jpg”;</w:t>
            </w:r>
          </w:p>
          <w:p w14:paraId="5D33483F" w14:textId="62258DCF" w:rsidR="00BC766B" w:rsidRDefault="00F84DF8" w:rsidP="005D29D8">
            <w:pPr>
              <w:jc w:val="both"/>
              <w:rPr>
                <w:sz w:val="24"/>
                <w:szCs w:val="24"/>
              </w:rPr>
            </w:pPr>
            <w:r>
              <w:rPr>
                <w:sz w:val="24"/>
                <w:szCs w:val="24"/>
              </w:rPr>
              <w:t>36</w:t>
            </w:r>
            <w:r w:rsidR="00BC766B">
              <w:rPr>
                <w:sz w:val="24"/>
                <w:szCs w:val="24"/>
              </w:rPr>
              <w:t>. Декларация за минимални помощи (ако е приложимо).</w:t>
            </w:r>
          </w:p>
          <w:p w14:paraId="238A6053" w14:textId="6E1BB32A" w:rsidR="00806BF5" w:rsidRDefault="00F84DF8" w:rsidP="005D29D8">
            <w:pPr>
              <w:jc w:val="both"/>
              <w:rPr>
                <w:sz w:val="24"/>
                <w:szCs w:val="24"/>
              </w:rPr>
            </w:pPr>
            <w:r>
              <w:rPr>
                <w:sz w:val="24"/>
                <w:szCs w:val="24"/>
              </w:rPr>
              <w:t>37</w:t>
            </w:r>
            <w:r w:rsidR="00806BF5">
              <w:rPr>
                <w:sz w:val="24"/>
                <w:szCs w:val="24"/>
              </w:rPr>
              <w:t xml:space="preserve">. </w:t>
            </w:r>
            <w:r w:rsidR="00DE56E9">
              <w:rPr>
                <w:sz w:val="24"/>
                <w:szCs w:val="24"/>
              </w:rPr>
              <w:t>Образец на запитване за оферта</w:t>
            </w:r>
            <w:r w:rsidR="00EA00EA">
              <w:rPr>
                <w:sz w:val="24"/>
                <w:szCs w:val="24"/>
              </w:rPr>
              <w:t xml:space="preserve"> съгласно приложение № 13</w:t>
            </w:r>
            <w:r w:rsidR="00122B6A">
              <w:rPr>
                <w:sz w:val="24"/>
                <w:szCs w:val="24"/>
              </w:rPr>
              <w:t>.</w:t>
            </w:r>
          </w:p>
          <w:p w14:paraId="0FDCC550" w14:textId="20FD90DA" w:rsidR="005928CB" w:rsidRDefault="00F84DF8" w:rsidP="005D29D8">
            <w:pPr>
              <w:jc w:val="both"/>
              <w:rPr>
                <w:sz w:val="24"/>
                <w:szCs w:val="24"/>
              </w:rPr>
            </w:pPr>
            <w:r>
              <w:rPr>
                <w:sz w:val="24"/>
                <w:szCs w:val="24"/>
              </w:rPr>
              <w:t>38</w:t>
            </w:r>
            <w:r w:rsidR="005928CB">
              <w:rPr>
                <w:sz w:val="24"/>
                <w:szCs w:val="24"/>
              </w:rPr>
              <w:t xml:space="preserve">. </w:t>
            </w:r>
            <w:r w:rsidR="00EA00EA" w:rsidRPr="00EA00EA">
              <w:rPr>
                <w:sz w:val="24"/>
                <w:szCs w:val="24"/>
              </w:rPr>
              <w:t xml:space="preserve">Декларация за липса на основания за отстраняване </w:t>
            </w:r>
            <w:r w:rsidR="00EA00EA">
              <w:rPr>
                <w:sz w:val="24"/>
                <w:szCs w:val="24"/>
              </w:rPr>
              <w:t>– Приложение № 5</w:t>
            </w:r>
            <w:r w:rsidR="005928CB">
              <w:rPr>
                <w:sz w:val="24"/>
                <w:szCs w:val="24"/>
              </w:rPr>
              <w:t>;</w:t>
            </w:r>
          </w:p>
          <w:p w14:paraId="3736A709" w14:textId="40A2B22A" w:rsidR="00335E13" w:rsidRDefault="00F84DF8" w:rsidP="005D29D8">
            <w:pPr>
              <w:jc w:val="both"/>
              <w:rPr>
                <w:sz w:val="24"/>
                <w:szCs w:val="24"/>
              </w:rPr>
            </w:pPr>
            <w:r>
              <w:rPr>
                <w:sz w:val="24"/>
                <w:szCs w:val="24"/>
              </w:rPr>
              <w:t>39</w:t>
            </w:r>
            <w:r w:rsidR="00335E13">
              <w:rPr>
                <w:sz w:val="24"/>
                <w:szCs w:val="24"/>
              </w:rPr>
              <w:t xml:space="preserve">. </w:t>
            </w:r>
            <w:r w:rsidR="00335E13" w:rsidRPr="00335E13">
              <w:rPr>
                <w:sz w:val="24"/>
                <w:szCs w:val="24"/>
              </w:rPr>
              <w:t>Декларация за неприложими документи</w:t>
            </w:r>
            <w:r w:rsidR="00EA00EA">
              <w:rPr>
                <w:sz w:val="24"/>
                <w:szCs w:val="24"/>
              </w:rPr>
              <w:t xml:space="preserve"> – Приложение № 6</w:t>
            </w:r>
            <w:r w:rsidR="00335E13" w:rsidRPr="00335E13">
              <w:rPr>
                <w:sz w:val="24"/>
                <w:szCs w:val="24"/>
              </w:rPr>
              <w:t>;</w:t>
            </w:r>
          </w:p>
          <w:p w14:paraId="031EC49A" w14:textId="3FEA3140" w:rsidR="0022341C" w:rsidRDefault="00F84DF8" w:rsidP="005D29D8">
            <w:pPr>
              <w:jc w:val="both"/>
              <w:rPr>
                <w:sz w:val="24"/>
                <w:szCs w:val="24"/>
              </w:rPr>
            </w:pPr>
            <w:r>
              <w:rPr>
                <w:sz w:val="24"/>
                <w:szCs w:val="24"/>
              </w:rPr>
              <w:t>40</w:t>
            </w:r>
            <w:r w:rsidR="0022341C">
              <w:rPr>
                <w:sz w:val="24"/>
                <w:szCs w:val="24"/>
              </w:rPr>
              <w:t xml:space="preserve">. </w:t>
            </w:r>
            <w:r w:rsidR="0022341C" w:rsidRPr="0022341C">
              <w:rPr>
                <w:sz w:val="24"/>
                <w:szCs w:val="24"/>
              </w:rPr>
              <w:t xml:space="preserve">Декларация за съгласие за предоставяне на данни от НСИ - Приложение </w:t>
            </w:r>
            <w:r w:rsidR="008F5CA5">
              <w:rPr>
                <w:sz w:val="24"/>
                <w:szCs w:val="24"/>
              </w:rPr>
              <w:t xml:space="preserve">№ </w:t>
            </w:r>
            <w:r w:rsidR="0022341C" w:rsidRPr="0022341C">
              <w:rPr>
                <w:sz w:val="24"/>
                <w:szCs w:val="24"/>
              </w:rPr>
              <w:t>8</w:t>
            </w:r>
            <w:r w:rsidR="0022341C">
              <w:rPr>
                <w:sz w:val="24"/>
                <w:szCs w:val="24"/>
              </w:rPr>
              <w:t>;</w:t>
            </w:r>
          </w:p>
          <w:p w14:paraId="5115EA62" w14:textId="6878C7E7" w:rsidR="008F5CA5" w:rsidRDefault="008F5CA5" w:rsidP="005D29D8">
            <w:pPr>
              <w:jc w:val="both"/>
              <w:rPr>
                <w:sz w:val="24"/>
                <w:szCs w:val="24"/>
              </w:rPr>
            </w:pPr>
            <w:r>
              <w:rPr>
                <w:sz w:val="24"/>
                <w:szCs w:val="24"/>
              </w:rPr>
              <w:t>41.</w:t>
            </w:r>
            <w:r>
              <w:t xml:space="preserve"> </w:t>
            </w:r>
            <w:r w:rsidRPr="008F5CA5">
              <w:rPr>
                <w:sz w:val="24"/>
                <w:szCs w:val="24"/>
              </w:rPr>
              <w:t xml:space="preserve"> Декларация за свързаност съгласно Заповед №РД 09-64703.07.2019 (</w:t>
            </w:r>
            <w:r>
              <w:rPr>
                <w:sz w:val="24"/>
                <w:szCs w:val="24"/>
              </w:rPr>
              <w:t>Неприложима за публично-правни организации</w:t>
            </w:r>
            <w:r w:rsidRPr="008F5CA5">
              <w:rPr>
                <w:sz w:val="24"/>
                <w:szCs w:val="24"/>
              </w:rPr>
              <w:t>)</w:t>
            </w:r>
            <w:r>
              <w:rPr>
                <w:sz w:val="24"/>
                <w:szCs w:val="24"/>
              </w:rPr>
              <w:t xml:space="preserve"> – </w:t>
            </w:r>
            <w:r w:rsidR="009D16E3">
              <w:rPr>
                <w:sz w:val="24"/>
                <w:szCs w:val="24"/>
              </w:rPr>
              <w:t>Приложение № 14;</w:t>
            </w:r>
            <w:r>
              <w:rPr>
                <w:sz w:val="24"/>
                <w:szCs w:val="24"/>
              </w:rPr>
              <w:t xml:space="preserve">  </w:t>
            </w:r>
          </w:p>
          <w:p w14:paraId="472F3C72" w14:textId="262BE024" w:rsidR="00A855D0" w:rsidRDefault="00F84DF8" w:rsidP="005D29D8">
            <w:pPr>
              <w:jc w:val="both"/>
              <w:rPr>
                <w:sz w:val="24"/>
                <w:szCs w:val="24"/>
              </w:rPr>
            </w:pPr>
            <w:r>
              <w:rPr>
                <w:sz w:val="24"/>
                <w:szCs w:val="24"/>
              </w:rPr>
              <w:t>41</w:t>
            </w:r>
            <w:r w:rsidR="00A855D0">
              <w:rPr>
                <w:sz w:val="24"/>
                <w:szCs w:val="24"/>
              </w:rPr>
              <w:t xml:space="preserve">. </w:t>
            </w:r>
            <w:r w:rsidR="00A855D0" w:rsidRPr="00A855D0">
              <w:rPr>
                <w:sz w:val="24"/>
                <w:szCs w:val="24"/>
              </w:rPr>
              <w:t>Допълнителни документи, доказващи съответствие с приоритет по критериите за оценка</w:t>
            </w:r>
            <w:r w:rsidR="00A855D0" w:rsidRPr="00A855D0">
              <w:rPr>
                <w:sz w:val="24"/>
                <w:szCs w:val="24"/>
              </w:rPr>
              <w:tab/>
            </w:r>
            <w:r w:rsidR="00A855D0">
              <w:rPr>
                <w:sz w:val="24"/>
                <w:szCs w:val="24"/>
              </w:rPr>
              <w:t xml:space="preserve"> (ако е приложимо).</w:t>
            </w:r>
          </w:p>
          <w:p w14:paraId="5ABF4FC3" w14:textId="40DA3F39" w:rsidR="00B562DE" w:rsidRPr="007D5505" w:rsidRDefault="00B562DE" w:rsidP="00CC3131">
            <w:pPr>
              <w:jc w:val="both"/>
              <w:rPr>
                <w:sz w:val="24"/>
                <w:szCs w:val="24"/>
              </w:rPr>
            </w:pPr>
          </w:p>
        </w:tc>
      </w:tr>
    </w:tbl>
    <w:p w14:paraId="01DD7A2A" w14:textId="77777777" w:rsidR="00C51B04" w:rsidRDefault="00C51B04" w:rsidP="00784529">
      <w:bookmarkStart w:id="76" w:name="_Toc445385617"/>
    </w:p>
    <w:p w14:paraId="0FB843E1" w14:textId="4B3FC373" w:rsidR="007A2ECD" w:rsidRDefault="007A2ECD" w:rsidP="007A2ECD">
      <w:pPr>
        <w:pStyle w:val="Heading2"/>
      </w:pPr>
      <w:bookmarkStart w:id="77" w:name="_Toc534292231"/>
      <w:r>
        <w:t>24.2. Специфични документи</w:t>
      </w:r>
      <w:bookmarkEnd w:id="77"/>
    </w:p>
    <w:p w14:paraId="50C68DDA" w14:textId="2345E3C5" w:rsidR="007A2ECD" w:rsidRPr="007A2ECD" w:rsidRDefault="007A2ECD" w:rsidP="007A2ECD">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7A2ECD">
        <w:rPr>
          <w:rFonts w:ascii="Times New Roman" w:hAnsi="Times New Roman" w:cs="Times New Roman"/>
          <w:sz w:val="24"/>
          <w:szCs w:val="24"/>
        </w:rPr>
        <w:t>За дейността строителство, реконструкция и/или рехабилитация на нови и съществуващи улици и тротоари и съоръженията и принадлежностите към тях:</w:t>
      </w:r>
    </w:p>
    <w:p w14:paraId="5A9FA2BB" w14:textId="384C1BD9" w:rsidR="007A2ECD" w:rsidRPr="00723F8A" w:rsidRDefault="007A2ECD" w:rsidP="00723F8A">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7A2ECD">
        <w:rPr>
          <w:rFonts w:ascii="Times New Roman" w:hAnsi="Times New Roman" w:cs="Times New Roman"/>
          <w:sz w:val="24"/>
          <w:szCs w:val="24"/>
        </w:rPr>
        <w:t>1. Декларация от кмета на общината, че под терена, в който ще се изпълнят дейностите по проекта, са изградени или реконструирани водоснабдителните и/или канализационните системи (ВиК) или не се предвижда да се изграждат или реконструират ВиК системи за период седем години считано от датата на сключване на административния договор. Представя</w:t>
      </w:r>
      <w:r w:rsidR="00723F8A">
        <w:rPr>
          <w:rFonts w:ascii="Times New Roman" w:hAnsi="Times New Roman" w:cs="Times New Roman"/>
          <w:sz w:val="24"/>
          <w:szCs w:val="24"/>
        </w:rPr>
        <w:t xml:space="preserve"> се във формат „pdf“ или „jpg”.</w:t>
      </w:r>
    </w:p>
    <w:p w14:paraId="45E8CE65" w14:textId="29F8B863" w:rsidR="007A2ECD" w:rsidRDefault="007A2ECD" w:rsidP="007A2ECD">
      <w:pPr>
        <w:pStyle w:val="Heading2"/>
      </w:pPr>
      <w:bookmarkStart w:id="78" w:name="_Toc534292232"/>
      <w:r>
        <w:t>24.3.  Документи, доказващи съответствие с критериите за подбор на проекти</w:t>
      </w:r>
      <w:bookmarkEnd w:id="78"/>
    </w:p>
    <w:p w14:paraId="0F42CFB0" w14:textId="77777777" w:rsidR="007A2ECD" w:rsidRPr="007A2ECD" w:rsidRDefault="007A2ECD" w:rsidP="007A2ECD">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7A2ECD">
        <w:rPr>
          <w:rFonts w:ascii="Times New Roman" w:hAnsi="Times New Roman" w:cs="Times New Roman"/>
          <w:sz w:val="24"/>
          <w:szCs w:val="24"/>
        </w:rPr>
        <w:t>1.</w:t>
      </w:r>
      <w:r w:rsidRPr="007A2ECD">
        <w:rPr>
          <w:rFonts w:ascii="Times New Roman" w:hAnsi="Times New Roman" w:cs="Times New Roman"/>
          <w:sz w:val="24"/>
          <w:szCs w:val="24"/>
        </w:rPr>
        <w:tab/>
        <w:t>Справка за населението в населеното място/места, разположени на територията на община Поморие (по последни данни на Националния статистически институт) където ще се изпълняват инвестициите по проекта, в съответствие с критерий за подбор 3“Брой население, което ще се възползва от подобрените основни услуги, и обхвата на  териториално въздействие”. Представя се във формат „pdf“.</w:t>
      </w:r>
    </w:p>
    <w:p w14:paraId="112641FF" w14:textId="7BCCA424" w:rsidR="007A2ECD" w:rsidRPr="000E23D5" w:rsidRDefault="007A2ECD" w:rsidP="007A2ECD">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0E23D5">
        <w:rPr>
          <w:rFonts w:ascii="Times New Roman" w:hAnsi="Times New Roman" w:cs="Times New Roman"/>
          <w:sz w:val="24"/>
          <w:szCs w:val="24"/>
        </w:rPr>
        <w:t>2.</w:t>
      </w:r>
      <w:r w:rsidRPr="000E23D5">
        <w:rPr>
          <w:rFonts w:ascii="Times New Roman" w:hAnsi="Times New Roman" w:cs="Times New Roman"/>
          <w:sz w:val="24"/>
          <w:szCs w:val="24"/>
        </w:rPr>
        <w:tab/>
        <w:t xml:space="preserve">Справка за съществуващия и нает от кандидата персонал към края на предходната спрямо кандидатстването календарна година и за последния отчетен период за фирми/организации, създадени през текущата стопанска година (ако е приложимо). Справката се представя, когато кандидатът заявява съответствие с критерий за подбор 4 </w:t>
      </w:r>
      <w:r w:rsidRPr="000E23D5">
        <w:rPr>
          <w:rFonts w:ascii="Times New Roman" w:hAnsi="Times New Roman" w:cs="Times New Roman"/>
          <w:sz w:val="24"/>
          <w:szCs w:val="24"/>
        </w:rPr>
        <w:lastRenderedPageBreak/>
        <w:t xml:space="preserve">“Проекти, създаващи работни места при изпълнение на допустимите дейности”. Представя се във формат „pdf“. (неприложимо за общини). Общините </w:t>
      </w:r>
      <w:r w:rsidR="000A1692">
        <w:rPr>
          <w:rFonts w:ascii="Times New Roman" w:hAnsi="Times New Roman" w:cs="Times New Roman"/>
          <w:sz w:val="24"/>
          <w:szCs w:val="24"/>
        </w:rPr>
        <w:t>описват</w:t>
      </w:r>
      <w:r w:rsidRPr="000E23D5">
        <w:rPr>
          <w:rFonts w:ascii="Times New Roman" w:hAnsi="Times New Roman" w:cs="Times New Roman"/>
          <w:sz w:val="24"/>
          <w:szCs w:val="24"/>
        </w:rPr>
        <w:t xml:space="preserve"> съответствие с данните, въведени в Формуля</w:t>
      </w:r>
      <w:r w:rsidR="00023EC6">
        <w:rPr>
          <w:rFonts w:ascii="Times New Roman" w:hAnsi="Times New Roman" w:cs="Times New Roman"/>
          <w:sz w:val="24"/>
          <w:szCs w:val="24"/>
        </w:rPr>
        <w:t>ра за мониторинг (Приложение № 4</w:t>
      </w:r>
      <w:r w:rsidRPr="000E23D5">
        <w:rPr>
          <w:rFonts w:ascii="Times New Roman" w:hAnsi="Times New Roman" w:cs="Times New Roman"/>
          <w:sz w:val="24"/>
          <w:szCs w:val="24"/>
        </w:rPr>
        <w:t>, т.3).</w:t>
      </w:r>
    </w:p>
    <w:p w14:paraId="19EA7E2B" w14:textId="4CED3A49" w:rsidR="007A2ECD" w:rsidRPr="000E23D5" w:rsidRDefault="007A2ECD" w:rsidP="007A2ECD">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0E23D5">
        <w:rPr>
          <w:rFonts w:ascii="Times New Roman" w:hAnsi="Times New Roman" w:cs="Times New Roman"/>
          <w:sz w:val="24"/>
          <w:szCs w:val="24"/>
        </w:rPr>
        <w:t>3.</w:t>
      </w:r>
      <w:r w:rsidRPr="000E23D5">
        <w:rPr>
          <w:rFonts w:ascii="Times New Roman" w:hAnsi="Times New Roman" w:cs="Times New Roman"/>
          <w:sz w:val="24"/>
          <w:szCs w:val="24"/>
        </w:rPr>
        <w:tab/>
        <w:t xml:space="preserve">Отчет за заетите лица, средствата за работна заплата и други разходи за труд за предходната спрямо кандидатстването календарна година, заверена от кандидата и НСИ. Представя се, в случай че кандидатът заявява съответствие с критерий за подбор 4 “Проекти, създаващи работни места при изпълнение на допустимите дейности”. Представя се във формат „pdf“. (неприложимо за общини). Общините </w:t>
      </w:r>
      <w:r w:rsidR="000A1692">
        <w:rPr>
          <w:rFonts w:ascii="Times New Roman" w:hAnsi="Times New Roman" w:cs="Times New Roman"/>
          <w:sz w:val="24"/>
          <w:szCs w:val="24"/>
        </w:rPr>
        <w:t>описват</w:t>
      </w:r>
      <w:r w:rsidRPr="000E23D5">
        <w:rPr>
          <w:rFonts w:ascii="Times New Roman" w:hAnsi="Times New Roman" w:cs="Times New Roman"/>
          <w:sz w:val="24"/>
          <w:szCs w:val="24"/>
        </w:rPr>
        <w:t xml:space="preserve"> съответствие с данните, въведени в Формуля</w:t>
      </w:r>
      <w:r w:rsidR="00023EC6">
        <w:rPr>
          <w:rFonts w:ascii="Times New Roman" w:hAnsi="Times New Roman" w:cs="Times New Roman"/>
          <w:sz w:val="24"/>
          <w:szCs w:val="24"/>
        </w:rPr>
        <w:t>ра за мониторинг (Приложение № 4</w:t>
      </w:r>
      <w:r w:rsidRPr="000E23D5">
        <w:rPr>
          <w:rFonts w:ascii="Times New Roman" w:hAnsi="Times New Roman" w:cs="Times New Roman"/>
          <w:sz w:val="24"/>
          <w:szCs w:val="24"/>
        </w:rPr>
        <w:t>, т.3).</w:t>
      </w:r>
    </w:p>
    <w:p w14:paraId="6E6F40B7" w14:textId="6C5B32D5" w:rsidR="0089690E" w:rsidRPr="000E23D5" w:rsidRDefault="000E23D5" w:rsidP="0089690E">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0E23D5">
        <w:rPr>
          <w:rFonts w:ascii="Times New Roman" w:hAnsi="Times New Roman" w:cs="Times New Roman"/>
          <w:sz w:val="24"/>
          <w:szCs w:val="24"/>
        </w:rPr>
        <w:t xml:space="preserve">4. </w:t>
      </w:r>
      <w:r w:rsidR="0089690E" w:rsidRPr="000E23D5">
        <w:rPr>
          <w:rFonts w:ascii="Times New Roman" w:hAnsi="Times New Roman" w:cs="Times New Roman"/>
          <w:sz w:val="24"/>
          <w:szCs w:val="24"/>
        </w:rPr>
        <w:t>Анализ или обосновка, удостоверяващи подобряване на околната среда и постигащи екологичен ефект и въздействие, изготвен и съгласуван от правоспособно лице с ком</w:t>
      </w:r>
      <w:r w:rsidRPr="000E23D5">
        <w:rPr>
          <w:rFonts w:ascii="Times New Roman" w:hAnsi="Times New Roman" w:cs="Times New Roman"/>
          <w:sz w:val="24"/>
          <w:szCs w:val="24"/>
        </w:rPr>
        <w:t>петентност в съответната област. Документът се представя, когато кандидатът заявява съответствие с критерий за подбор 6 „Проекти, осигуряващи подобряване на околната среда и постигащи екологичен ефект и въздействие</w:t>
      </w:r>
      <w:r w:rsidR="00FB5A03">
        <w:rPr>
          <w:rFonts w:ascii="Times New Roman" w:hAnsi="Times New Roman" w:cs="Times New Roman"/>
          <w:sz w:val="24"/>
          <w:szCs w:val="24"/>
        </w:rPr>
        <w:t xml:space="preserve">. Представя се във формат „pdf“ </w:t>
      </w:r>
      <w:r w:rsidR="00FB5A03" w:rsidRPr="00FB5A03">
        <w:rPr>
          <w:rFonts w:ascii="Times New Roman" w:hAnsi="Times New Roman" w:cs="Times New Roman"/>
          <w:b/>
          <w:sz w:val="24"/>
          <w:szCs w:val="24"/>
          <w:u w:val="single"/>
        </w:rPr>
        <w:t>или</w:t>
      </w:r>
      <w:r w:rsidR="00FB5A03">
        <w:rPr>
          <w:rFonts w:ascii="Times New Roman" w:hAnsi="Times New Roman" w:cs="Times New Roman"/>
          <w:sz w:val="24"/>
          <w:szCs w:val="24"/>
        </w:rPr>
        <w:t xml:space="preserve"> </w:t>
      </w:r>
      <w:r w:rsidR="0089690E" w:rsidRPr="000E23D5">
        <w:rPr>
          <w:rFonts w:ascii="Times New Roman" w:hAnsi="Times New Roman" w:cs="Times New Roman"/>
          <w:sz w:val="24"/>
          <w:szCs w:val="24"/>
        </w:rPr>
        <w:t xml:space="preserve">Сертификат, удостоверение, становище и др., доказващи, че с проекта се прилага интегриран подход към околната среда чрез съхраняване и опазване на компонентите на околната среда и насърчаване на ресурсната ефективност, вкл. дейности за превенция и управление на риска, издадени от съответна институция или правоспособно лице.    </w:t>
      </w:r>
      <w:r w:rsidRPr="000E23D5">
        <w:rPr>
          <w:rFonts w:ascii="Times New Roman" w:hAnsi="Times New Roman" w:cs="Times New Roman"/>
          <w:sz w:val="24"/>
          <w:szCs w:val="24"/>
        </w:rPr>
        <w:t>Документът се представя, когато кандидатът заявява съответствие с критерий за подбор 6 „Проекти, осигуряващи подобряване на околната среда и постигащи екологичен ефект и въздействие. Представя се във формат „pdf“.</w:t>
      </w:r>
    </w:p>
    <w:p w14:paraId="261C5BF7" w14:textId="433BC67E" w:rsidR="0006081F" w:rsidRPr="007713C1" w:rsidRDefault="00CD534E" w:rsidP="003A2D4B">
      <w:pPr>
        <w:pStyle w:val="Heading1"/>
      </w:pPr>
      <w:bookmarkStart w:id="79" w:name="_Toc534292233"/>
      <w:r>
        <w:t>2</w:t>
      </w:r>
      <w:r w:rsidR="00883A6D">
        <w:t>5</w:t>
      </w:r>
      <w:r w:rsidR="0006081F" w:rsidRPr="007713C1">
        <w:t xml:space="preserve">. </w:t>
      </w:r>
      <w:r w:rsidR="00466283">
        <w:t>Краен срок</w:t>
      </w:r>
      <w:r w:rsidR="0006081F" w:rsidRPr="007713C1">
        <w:t xml:space="preserve"> за подаване н</w:t>
      </w:r>
      <w:r w:rsidR="00D5601D" w:rsidRPr="007713C1">
        <w:t>а проектните предложения</w:t>
      </w:r>
      <w:r w:rsidR="0006081F" w:rsidRPr="007713C1">
        <w:t>:</w:t>
      </w:r>
      <w:bookmarkEnd w:id="76"/>
      <w:bookmarkEnd w:id="79"/>
    </w:p>
    <w:p w14:paraId="239B0363" w14:textId="0CDDB31A" w:rsidR="00883A6D" w:rsidRPr="00BB234C" w:rsidRDefault="00883A6D" w:rsidP="00EC2B09">
      <w:pPr>
        <w:pStyle w:val="ListParagraph"/>
        <w:pBdr>
          <w:top w:val="single" w:sz="4" w:space="1" w:color="auto"/>
          <w:left w:val="single" w:sz="4" w:space="0" w:color="auto"/>
          <w:bottom w:val="single" w:sz="4" w:space="1" w:color="auto"/>
          <w:right w:val="single" w:sz="4" w:space="0" w:color="auto"/>
        </w:pBdr>
        <w:spacing w:before="120" w:after="120" w:line="240" w:lineRule="auto"/>
        <w:ind w:left="0"/>
        <w:contextualSpacing w:val="0"/>
        <w:jc w:val="both"/>
        <w:rPr>
          <w:rFonts w:ascii="Times New Roman" w:hAnsi="Times New Roman" w:cs="Times New Roman"/>
          <w:b/>
          <w:sz w:val="24"/>
          <w:szCs w:val="24"/>
        </w:rPr>
      </w:pPr>
      <w:r w:rsidRPr="00BB234C">
        <w:rPr>
          <w:rFonts w:ascii="Times New Roman" w:hAnsi="Times New Roman" w:cs="Times New Roman"/>
          <w:sz w:val="24"/>
          <w:szCs w:val="24"/>
        </w:rPr>
        <w:t>Производството по предоставяне на безвъзмездна финансова помощ чрез подбор започва в деня на публикуването на обява за откриване на съответната процедурата чрез подбор в ИСУН.</w:t>
      </w:r>
    </w:p>
    <w:p w14:paraId="61F7FC83" w14:textId="7094C6F0" w:rsidR="00435AAD" w:rsidRPr="00357E43" w:rsidRDefault="00435AAD" w:rsidP="00435AAD">
      <w:pPr>
        <w:pStyle w:val="ListParagraph"/>
        <w:pBdr>
          <w:top w:val="single" w:sz="4" w:space="1" w:color="auto"/>
          <w:left w:val="single" w:sz="4" w:space="0" w:color="auto"/>
          <w:bottom w:val="single" w:sz="4" w:space="1" w:color="auto"/>
          <w:right w:val="single" w:sz="4" w:space="0" w:color="auto"/>
        </w:pBdr>
        <w:spacing w:before="120" w:after="120" w:line="240" w:lineRule="auto"/>
        <w:ind w:left="0"/>
        <w:contextualSpacing w:val="0"/>
        <w:jc w:val="both"/>
        <w:rPr>
          <w:rFonts w:ascii="Times New Roman" w:hAnsi="Times New Roman" w:cs="Times New Roman"/>
          <w:b/>
          <w:sz w:val="24"/>
          <w:szCs w:val="24"/>
        </w:rPr>
      </w:pPr>
      <w:r w:rsidRPr="00357E43">
        <w:rPr>
          <w:rFonts w:ascii="Times New Roman" w:hAnsi="Times New Roman" w:cs="Times New Roman"/>
          <w:b/>
          <w:sz w:val="24"/>
          <w:szCs w:val="24"/>
        </w:rPr>
        <w:t>Втори краен срок за подаван</w:t>
      </w:r>
      <w:r w:rsidR="003F5080">
        <w:rPr>
          <w:rFonts w:ascii="Times New Roman" w:hAnsi="Times New Roman" w:cs="Times New Roman"/>
          <w:b/>
          <w:sz w:val="24"/>
          <w:szCs w:val="24"/>
        </w:rPr>
        <w:t>е на проектни</w:t>
      </w:r>
      <w:r w:rsidR="00261887">
        <w:rPr>
          <w:rFonts w:ascii="Times New Roman" w:hAnsi="Times New Roman" w:cs="Times New Roman"/>
          <w:b/>
          <w:sz w:val="24"/>
          <w:szCs w:val="24"/>
        </w:rPr>
        <w:t>те предложения е 31.10</w:t>
      </w:r>
      <w:r w:rsidR="00357E43" w:rsidRPr="00357E43">
        <w:rPr>
          <w:rFonts w:ascii="Times New Roman" w:hAnsi="Times New Roman" w:cs="Times New Roman"/>
          <w:b/>
          <w:sz w:val="24"/>
          <w:szCs w:val="24"/>
        </w:rPr>
        <w:t>.2022</w:t>
      </w:r>
      <w:r w:rsidRPr="00357E43">
        <w:rPr>
          <w:rFonts w:ascii="Times New Roman" w:hAnsi="Times New Roman" w:cs="Times New Roman"/>
          <w:b/>
          <w:sz w:val="24"/>
          <w:szCs w:val="24"/>
        </w:rPr>
        <w:t xml:space="preserve"> г. 16:00 часа.</w:t>
      </w:r>
    </w:p>
    <w:p w14:paraId="16827223" w14:textId="72F41CE5" w:rsidR="00435AAD" w:rsidRPr="00357E43" w:rsidRDefault="00435AAD" w:rsidP="00EC2B09">
      <w:pPr>
        <w:pStyle w:val="ListParagraph"/>
        <w:pBdr>
          <w:top w:val="single" w:sz="4" w:space="1" w:color="auto"/>
          <w:left w:val="single" w:sz="4" w:space="0" w:color="auto"/>
          <w:bottom w:val="single" w:sz="4" w:space="1" w:color="auto"/>
          <w:right w:val="single" w:sz="4" w:space="0" w:color="auto"/>
        </w:pBdr>
        <w:spacing w:before="120" w:after="120" w:line="240" w:lineRule="auto"/>
        <w:ind w:left="0"/>
        <w:contextualSpacing w:val="0"/>
        <w:jc w:val="both"/>
        <w:rPr>
          <w:rFonts w:ascii="Times New Roman" w:hAnsi="Times New Roman" w:cs="Times New Roman"/>
          <w:sz w:val="24"/>
          <w:szCs w:val="24"/>
        </w:rPr>
      </w:pPr>
      <w:r w:rsidRPr="00357E43">
        <w:rPr>
          <w:rFonts w:ascii="Times New Roman" w:hAnsi="Times New Roman" w:cs="Times New Roman"/>
          <w:sz w:val="24"/>
          <w:szCs w:val="24"/>
        </w:rPr>
        <w:t>Всяко проектно предложение, което е подадено след крайния срок, ще бъде отхвърлено и няма да бъде разглеждано по настоящата покана.</w:t>
      </w:r>
    </w:p>
    <w:p w14:paraId="2B3B4F01" w14:textId="25E08C13" w:rsidR="00A26C7A" w:rsidRPr="00F861AA" w:rsidRDefault="00A26C7A" w:rsidP="00EC2B09">
      <w:pPr>
        <w:pStyle w:val="ListParagraph"/>
        <w:pBdr>
          <w:top w:val="single" w:sz="4" w:space="1" w:color="auto"/>
          <w:left w:val="single" w:sz="4" w:space="0" w:color="auto"/>
          <w:bottom w:val="single" w:sz="4" w:space="1" w:color="auto"/>
          <w:right w:val="single" w:sz="4" w:space="0" w:color="auto"/>
        </w:pBdr>
        <w:spacing w:before="120" w:after="120" w:line="240" w:lineRule="auto"/>
        <w:ind w:left="0"/>
        <w:contextualSpacing w:val="0"/>
        <w:jc w:val="both"/>
        <w:rPr>
          <w:rFonts w:ascii="Times New Roman" w:hAnsi="Times New Roman" w:cs="Times New Roman"/>
          <w:b/>
          <w:sz w:val="24"/>
          <w:szCs w:val="24"/>
        </w:rPr>
      </w:pPr>
      <w:r w:rsidRPr="00357E43">
        <w:rPr>
          <w:rFonts w:ascii="Times New Roman" w:hAnsi="Times New Roman" w:cs="Times New Roman"/>
          <w:b/>
          <w:sz w:val="24"/>
          <w:szCs w:val="24"/>
        </w:rPr>
        <w:t>Трети краен срок за подаване на проектните предложения е</w:t>
      </w:r>
      <w:r w:rsidR="00357E43" w:rsidRPr="00357E43">
        <w:rPr>
          <w:rFonts w:ascii="Times New Roman" w:hAnsi="Times New Roman" w:cs="Times New Roman"/>
          <w:b/>
          <w:sz w:val="24"/>
          <w:szCs w:val="24"/>
        </w:rPr>
        <w:t xml:space="preserve"> 16.12.2022</w:t>
      </w:r>
      <w:r w:rsidRPr="00357E43">
        <w:rPr>
          <w:rFonts w:ascii="Times New Roman" w:hAnsi="Times New Roman" w:cs="Times New Roman"/>
          <w:b/>
          <w:sz w:val="24"/>
          <w:szCs w:val="24"/>
        </w:rPr>
        <w:t xml:space="preserve"> г. 16:00 часа.</w:t>
      </w:r>
    </w:p>
    <w:p w14:paraId="6F0E787D" w14:textId="2A4CE111" w:rsidR="0090756F" w:rsidRPr="0090756F" w:rsidRDefault="0090756F" w:rsidP="0090756F">
      <w:pPr>
        <w:pStyle w:val="Heading1"/>
      </w:pPr>
      <w:bookmarkStart w:id="80" w:name="_Toc534292234"/>
      <w:bookmarkStart w:id="81" w:name="_Toc445385619"/>
      <w:r>
        <w:t>2</w:t>
      </w:r>
      <w:r w:rsidR="00883A6D">
        <w:t>6</w:t>
      </w:r>
      <w:r w:rsidRPr="0090756F">
        <w:t>. Адрес за подаване на проектните предложения</w:t>
      </w:r>
      <w:bookmarkEnd w:id="80"/>
    </w:p>
    <w:p w14:paraId="193143E2" w14:textId="1DFF1AE5" w:rsidR="0090756F" w:rsidRPr="00E568E5" w:rsidRDefault="0090756F" w:rsidP="00BB234C">
      <w:pPr>
        <w:pBdr>
          <w:top w:val="single" w:sz="4" w:space="1" w:color="auto"/>
          <w:left w:val="single" w:sz="4" w:space="0" w:color="auto"/>
          <w:bottom w:val="single" w:sz="4" w:space="1" w:color="auto"/>
          <w:right w:val="single" w:sz="4" w:space="4" w:color="auto"/>
        </w:pBdr>
        <w:rPr>
          <w:sz w:val="24"/>
          <w:szCs w:val="24"/>
        </w:rPr>
      </w:pPr>
      <w:r w:rsidRPr="00E568E5">
        <w:rPr>
          <w:rFonts w:ascii="Times New Roman" w:hAnsi="Times New Roman" w:cs="Times New Roman"/>
          <w:sz w:val="24"/>
          <w:szCs w:val="24"/>
        </w:rPr>
        <w:t xml:space="preserve">Проектните предложения по настоящата процедура се подават по изцяло електронен път чрез ИСУН 2020  на следния интернет адрес: </w:t>
      </w:r>
      <w:hyperlink r:id="rId27" w:history="1">
        <w:r w:rsidRPr="00E568E5">
          <w:rPr>
            <w:rStyle w:val="Hyperlink"/>
            <w:rFonts w:ascii="Times New Roman" w:hAnsi="Times New Roman" w:cs="Times New Roman"/>
            <w:sz w:val="24"/>
            <w:szCs w:val="24"/>
          </w:rPr>
          <w:t>https://eumis2020.government.bg.</w:t>
        </w:r>
      </w:hyperlink>
    </w:p>
    <w:p w14:paraId="59AFC6B0" w14:textId="165F5983" w:rsidR="00F63260" w:rsidRDefault="00EE474B" w:rsidP="003A2D4B">
      <w:pPr>
        <w:pStyle w:val="Heading1"/>
      </w:pPr>
      <w:bookmarkStart w:id="82" w:name="_Toc534292235"/>
      <w:r>
        <w:lastRenderedPageBreak/>
        <w:t>2</w:t>
      </w:r>
      <w:r w:rsidR="00883A6D">
        <w:t>7.</w:t>
      </w:r>
      <w:r w:rsidR="00C57CC3" w:rsidRPr="007713C1">
        <w:t xml:space="preserve"> </w:t>
      </w:r>
      <w:r w:rsidR="00466283">
        <w:t>Допълнителна информация</w:t>
      </w:r>
      <w:r w:rsidR="00F63260" w:rsidRPr="007713C1">
        <w:t>:</w:t>
      </w:r>
      <w:bookmarkEnd w:id="81"/>
      <w:bookmarkEnd w:id="82"/>
    </w:p>
    <w:p w14:paraId="6A104DC2" w14:textId="77777777" w:rsidR="00504B69" w:rsidRPr="00504B69" w:rsidRDefault="00504B69" w:rsidP="006D7E17">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504B69">
        <w:rPr>
          <w:rFonts w:ascii="Times New Roman" w:hAnsi="Times New Roman" w:cs="Times New Roman"/>
          <w:sz w:val="24"/>
          <w:szCs w:val="24"/>
        </w:rPr>
        <w:t>В т. 11 от Формуляра за кандидатстване е необходимо кандидатите да попълнят следната допълнителна информация, необходима за оценка на проектното предложение:</w:t>
      </w:r>
    </w:p>
    <w:p w14:paraId="2904E411" w14:textId="77777777" w:rsidR="006D7E17" w:rsidRDefault="006D7E17" w:rsidP="006D7E17">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p>
    <w:p w14:paraId="63ED616B" w14:textId="3BAE2710" w:rsidR="00504B69" w:rsidRDefault="006D7E17" w:rsidP="006D7E17">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Pr>
          <w:rFonts w:ascii="Times New Roman" w:hAnsi="Times New Roman" w:cs="Times New Roman"/>
          <w:sz w:val="24"/>
          <w:szCs w:val="24"/>
          <w:lang w:val="en-US"/>
        </w:rPr>
        <w:t xml:space="preserve"> 1. </w:t>
      </w:r>
      <w:r w:rsidR="00504B69" w:rsidRPr="00504B69">
        <w:rPr>
          <w:rFonts w:ascii="Times New Roman" w:hAnsi="Times New Roman" w:cs="Times New Roman"/>
          <w:sz w:val="24"/>
          <w:szCs w:val="24"/>
        </w:rPr>
        <w:t>Необходима информация за издаване на уникален регистрационен ном</w:t>
      </w:r>
      <w:r w:rsidR="00504B69">
        <w:rPr>
          <w:rFonts w:ascii="Times New Roman" w:hAnsi="Times New Roman" w:cs="Times New Roman"/>
          <w:sz w:val="24"/>
          <w:szCs w:val="24"/>
        </w:rPr>
        <w:t>ер от Държавен фонд „Земеделие“:</w:t>
      </w:r>
    </w:p>
    <w:p w14:paraId="6EB0DABA" w14:textId="77777777" w:rsidR="006D7E17" w:rsidRDefault="006D7E17" w:rsidP="006D7E17">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p>
    <w:p w14:paraId="66E2BC27" w14:textId="77777777" w:rsidR="006D7E17" w:rsidRPr="006D7E17" w:rsidRDefault="006D7E17" w:rsidP="006D7E17">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6D7E17">
        <w:rPr>
          <w:rFonts w:ascii="Times New Roman" w:hAnsi="Times New Roman" w:cs="Times New Roman"/>
          <w:sz w:val="24"/>
          <w:szCs w:val="24"/>
        </w:rPr>
        <w:t>-</w:t>
      </w:r>
      <w:r w:rsidRPr="006D7E17">
        <w:rPr>
          <w:rFonts w:ascii="Times New Roman" w:hAnsi="Times New Roman" w:cs="Times New Roman"/>
          <w:sz w:val="24"/>
          <w:szCs w:val="24"/>
        </w:rPr>
        <w:tab/>
        <w:t xml:space="preserve">наименование на проектното предложение; </w:t>
      </w:r>
    </w:p>
    <w:p w14:paraId="235917B6" w14:textId="77777777" w:rsidR="006D7E17" w:rsidRPr="006D7E17" w:rsidRDefault="006D7E17" w:rsidP="006D7E17">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6D7E17">
        <w:rPr>
          <w:rFonts w:ascii="Times New Roman" w:hAnsi="Times New Roman" w:cs="Times New Roman"/>
          <w:sz w:val="24"/>
          <w:szCs w:val="24"/>
        </w:rPr>
        <w:t>-</w:t>
      </w:r>
      <w:r w:rsidRPr="006D7E17">
        <w:rPr>
          <w:rFonts w:ascii="Times New Roman" w:hAnsi="Times New Roman" w:cs="Times New Roman"/>
          <w:sz w:val="24"/>
          <w:szCs w:val="24"/>
        </w:rPr>
        <w:tab/>
        <w:t xml:space="preserve">данни за кандидата: ЕИК, ЕГН, банкова сметка, правно-организационна форма на лицето, пол на собственика/управителя, възраст на собственика/управителя, брой на работните места, които ще бъдат осигурени чрез осъществяването на проекта, сектор на основната дейност по Класификацията на икономическите дейности (КИД) на юридическото лице; </w:t>
      </w:r>
    </w:p>
    <w:p w14:paraId="2BEF580B" w14:textId="77777777" w:rsidR="006D7E17" w:rsidRPr="006D7E17" w:rsidRDefault="006D7E17" w:rsidP="006D7E17">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6D7E17">
        <w:rPr>
          <w:rFonts w:ascii="Times New Roman" w:hAnsi="Times New Roman" w:cs="Times New Roman"/>
          <w:sz w:val="24"/>
          <w:szCs w:val="24"/>
        </w:rPr>
        <w:t>-</w:t>
      </w:r>
      <w:r w:rsidRPr="006D7E17">
        <w:rPr>
          <w:rFonts w:ascii="Times New Roman" w:hAnsi="Times New Roman" w:cs="Times New Roman"/>
          <w:sz w:val="24"/>
          <w:szCs w:val="24"/>
        </w:rPr>
        <w:tab/>
        <w:t xml:space="preserve">място на извършване на инвестицията (област, община, УПИ, имот, парцел, отдел, подотдел и др.); </w:t>
      </w:r>
    </w:p>
    <w:p w14:paraId="181156F2" w14:textId="77777777" w:rsidR="006D7E17" w:rsidRPr="006D7E17" w:rsidRDefault="006D7E17" w:rsidP="006D7E17">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6D7E17">
        <w:rPr>
          <w:rFonts w:ascii="Times New Roman" w:hAnsi="Times New Roman" w:cs="Times New Roman"/>
          <w:sz w:val="24"/>
          <w:szCs w:val="24"/>
        </w:rPr>
        <w:t>-</w:t>
      </w:r>
      <w:r w:rsidRPr="006D7E17">
        <w:rPr>
          <w:rFonts w:ascii="Times New Roman" w:hAnsi="Times New Roman" w:cs="Times New Roman"/>
          <w:sz w:val="24"/>
          <w:szCs w:val="24"/>
        </w:rPr>
        <w:tab/>
        <w:t xml:space="preserve">декларативна част; </w:t>
      </w:r>
    </w:p>
    <w:p w14:paraId="6C413730" w14:textId="77777777" w:rsidR="006D7E17" w:rsidRPr="006D7E17" w:rsidRDefault="006D7E17" w:rsidP="006D7E17">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6D7E17">
        <w:rPr>
          <w:rFonts w:ascii="Times New Roman" w:hAnsi="Times New Roman" w:cs="Times New Roman"/>
          <w:sz w:val="24"/>
          <w:szCs w:val="24"/>
        </w:rPr>
        <w:t>-</w:t>
      </w:r>
      <w:r w:rsidRPr="006D7E17">
        <w:rPr>
          <w:rFonts w:ascii="Times New Roman" w:hAnsi="Times New Roman" w:cs="Times New Roman"/>
          <w:sz w:val="24"/>
          <w:szCs w:val="24"/>
        </w:rPr>
        <w:tab/>
        <w:t xml:space="preserve">стойност на разходите, за които се кандидатства; </w:t>
      </w:r>
    </w:p>
    <w:p w14:paraId="1CEF0BE6" w14:textId="77777777" w:rsidR="006D7E17" w:rsidRPr="006D7E17" w:rsidRDefault="006D7E17" w:rsidP="006D7E17">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6D7E17">
        <w:rPr>
          <w:rFonts w:ascii="Times New Roman" w:hAnsi="Times New Roman" w:cs="Times New Roman"/>
          <w:sz w:val="24"/>
          <w:szCs w:val="24"/>
        </w:rPr>
        <w:t>-</w:t>
      </w:r>
      <w:r w:rsidRPr="006D7E17">
        <w:rPr>
          <w:rFonts w:ascii="Times New Roman" w:hAnsi="Times New Roman" w:cs="Times New Roman"/>
          <w:sz w:val="24"/>
          <w:szCs w:val="24"/>
        </w:rPr>
        <w:tab/>
        <w:t xml:space="preserve">стойност на субсидията, за която се кандидатства; </w:t>
      </w:r>
    </w:p>
    <w:p w14:paraId="19A839EB" w14:textId="77777777" w:rsidR="006D7E17" w:rsidRPr="006D7E17" w:rsidRDefault="006D7E17" w:rsidP="006D7E17">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6D7E17">
        <w:rPr>
          <w:rFonts w:ascii="Times New Roman" w:hAnsi="Times New Roman" w:cs="Times New Roman"/>
          <w:sz w:val="24"/>
          <w:szCs w:val="24"/>
        </w:rPr>
        <w:t>-</w:t>
      </w:r>
      <w:r w:rsidRPr="006D7E17">
        <w:rPr>
          <w:rFonts w:ascii="Times New Roman" w:hAnsi="Times New Roman" w:cs="Times New Roman"/>
          <w:sz w:val="24"/>
          <w:szCs w:val="24"/>
        </w:rPr>
        <w:tab/>
        <w:t xml:space="preserve">стойност на разходите и субсидията на междинното плащане, в случай че се кандидатства за такова; </w:t>
      </w:r>
    </w:p>
    <w:p w14:paraId="65C2AB29" w14:textId="77777777" w:rsidR="006D7E17" w:rsidRPr="006D7E17" w:rsidRDefault="006D7E17" w:rsidP="006D7E17">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6D7E17">
        <w:rPr>
          <w:rFonts w:ascii="Times New Roman" w:hAnsi="Times New Roman" w:cs="Times New Roman"/>
          <w:sz w:val="24"/>
          <w:szCs w:val="24"/>
        </w:rPr>
        <w:t>-</w:t>
      </w:r>
      <w:r w:rsidRPr="006D7E17">
        <w:rPr>
          <w:rFonts w:ascii="Times New Roman" w:hAnsi="Times New Roman" w:cs="Times New Roman"/>
          <w:sz w:val="24"/>
          <w:szCs w:val="24"/>
        </w:rPr>
        <w:tab/>
        <w:t xml:space="preserve">сектор на дейността, за която се кандидатства по КИД; </w:t>
      </w:r>
    </w:p>
    <w:p w14:paraId="782D25F9" w14:textId="77777777" w:rsidR="006D7E17" w:rsidRPr="006D7E17" w:rsidRDefault="006D7E17" w:rsidP="006D7E17">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6D7E17">
        <w:rPr>
          <w:rFonts w:ascii="Times New Roman" w:hAnsi="Times New Roman" w:cs="Times New Roman"/>
          <w:sz w:val="24"/>
          <w:szCs w:val="24"/>
        </w:rPr>
        <w:t>-</w:t>
      </w:r>
      <w:r w:rsidRPr="006D7E17">
        <w:rPr>
          <w:rFonts w:ascii="Times New Roman" w:hAnsi="Times New Roman" w:cs="Times New Roman"/>
          <w:sz w:val="24"/>
          <w:szCs w:val="24"/>
        </w:rPr>
        <w:tab/>
        <w:t>код на референтен разход, за който се кандидатства.</w:t>
      </w:r>
    </w:p>
    <w:p w14:paraId="7716B8BD" w14:textId="77777777" w:rsidR="006D7E17" w:rsidRPr="006D7E17" w:rsidRDefault="006D7E17" w:rsidP="006D7E17">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6D7E17">
        <w:rPr>
          <w:rFonts w:ascii="Times New Roman" w:hAnsi="Times New Roman" w:cs="Times New Roman"/>
          <w:sz w:val="24"/>
          <w:szCs w:val="24"/>
        </w:rPr>
        <w:t>-</w:t>
      </w:r>
      <w:r w:rsidRPr="006D7E17">
        <w:rPr>
          <w:rFonts w:ascii="Times New Roman" w:hAnsi="Times New Roman" w:cs="Times New Roman"/>
          <w:sz w:val="24"/>
          <w:szCs w:val="24"/>
        </w:rPr>
        <w:tab/>
        <w:t>ЕГН;</w:t>
      </w:r>
    </w:p>
    <w:p w14:paraId="3DBA3175" w14:textId="77777777" w:rsidR="006D7E17" w:rsidRPr="006D7E17" w:rsidRDefault="006D7E17" w:rsidP="006D7E17">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6D7E17">
        <w:rPr>
          <w:rFonts w:ascii="Times New Roman" w:hAnsi="Times New Roman" w:cs="Times New Roman"/>
          <w:sz w:val="24"/>
          <w:szCs w:val="24"/>
        </w:rPr>
        <w:t>-</w:t>
      </w:r>
      <w:r w:rsidRPr="006D7E17">
        <w:rPr>
          <w:rFonts w:ascii="Times New Roman" w:hAnsi="Times New Roman" w:cs="Times New Roman"/>
          <w:sz w:val="24"/>
          <w:szCs w:val="24"/>
        </w:rPr>
        <w:tab/>
        <w:t xml:space="preserve">ЛНЧ (Личен номер на чужденец); </w:t>
      </w:r>
    </w:p>
    <w:p w14:paraId="2B0826A7" w14:textId="77777777" w:rsidR="006D7E17" w:rsidRPr="006D7E17" w:rsidRDefault="006D7E17" w:rsidP="006D7E17">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6D7E17">
        <w:rPr>
          <w:rFonts w:ascii="Times New Roman" w:hAnsi="Times New Roman" w:cs="Times New Roman"/>
          <w:sz w:val="24"/>
          <w:szCs w:val="24"/>
        </w:rPr>
        <w:t>-</w:t>
      </w:r>
      <w:r w:rsidRPr="006D7E17">
        <w:rPr>
          <w:rFonts w:ascii="Times New Roman" w:hAnsi="Times New Roman" w:cs="Times New Roman"/>
          <w:sz w:val="24"/>
          <w:szCs w:val="24"/>
        </w:rPr>
        <w:tab/>
        <w:t xml:space="preserve">Документ за самоличност (№, дата на издаване, валидност); </w:t>
      </w:r>
    </w:p>
    <w:p w14:paraId="72BFA3A4" w14:textId="77777777" w:rsidR="006D7E17" w:rsidRPr="006D7E17" w:rsidRDefault="006D7E17" w:rsidP="006D7E17">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6D7E17">
        <w:rPr>
          <w:rFonts w:ascii="Times New Roman" w:hAnsi="Times New Roman" w:cs="Times New Roman"/>
          <w:sz w:val="24"/>
          <w:szCs w:val="24"/>
        </w:rPr>
        <w:t>-</w:t>
      </w:r>
      <w:r w:rsidRPr="006D7E17">
        <w:rPr>
          <w:rFonts w:ascii="Times New Roman" w:hAnsi="Times New Roman" w:cs="Times New Roman"/>
          <w:sz w:val="24"/>
          <w:szCs w:val="24"/>
        </w:rPr>
        <w:tab/>
        <w:t xml:space="preserve">Данни за представляващия юридическо лице, вкл. ЕГН за представляващия (когато е приложимо); </w:t>
      </w:r>
    </w:p>
    <w:p w14:paraId="3CF5B5A7" w14:textId="77777777" w:rsidR="006D7E17" w:rsidRPr="006D7E17" w:rsidRDefault="006D7E17" w:rsidP="006D7E17">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6D7E17">
        <w:rPr>
          <w:rFonts w:ascii="Times New Roman" w:hAnsi="Times New Roman" w:cs="Times New Roman"/>
          <w:sz w:val="24"/>
          <w:szCs w:val="24"/>
        </w:rPr>
        <w:t>-</w:t>
      </w:r>
      <w:r w:rsidRPr="006D7E17">
        <w:rPr>
          <w:rFonts w:ascii="Times New Roman" w:hAnsi="Times New Roman" w:cs="Times New Roman"/>
          <w:sz w:val="24"/>
          <w:szCs w:val="24"/>
        </w:rPr>
        <w:tab/>
        <w:t xml:space="preserve">Седалище (когато е приложимо); </w:t>
      </w:r>
    </w:p>
    <w:p w14:paraId="394690E0" w14:textId="77777777" w:rsidR="006D7E17" w:rsidRPr="006D7E17" w:rsidRDefault="006D7E17" w:rsidP="006D7E17">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6D7E17">
        <w:rPr>
          <w:rFonts w:ascii="Times New Roman" w:hAnsi="Times New Roman" w:cs="Times New Roman"/>
          <w:sz w:val="24"/>
          <w:szCs w:val="24"/>
        </w:rPr>
        <w:t>-</w:t>
      </w:r>
      <w:r w:rsidRPr="006D7E17">
        <w:rPr>
          <w:rFonts w:ascii="Times New Roman" w:hAnsi="Times New Roman" w:cs="Times New Roman"/>
          <w:sz w:val="24"/>
          <w:szCs w:val="24"/>
        </w:rPr>
        <w:tab/>
        <w:t xml:space="preserve">Адрес по местоживеене (когато е приложимо); </w:t>
      </w:r>
    </w:p>
    <w:p w14:paraId="6330A69B" w14:textId="77777777" w:rsidR="006D7E17" w:rsidRPr="006D7E17" w:rsidRDefault="006D7E17" w:rsidP="006D7E17">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6D7E17">
        <w:rPr>
          <w:rFonts w:ascii="Times New Roman" w:hAnsi="Times New Roman" w:cs="Times New Roman"/>
          <w:sz w:val="24"/>
          <w:szCs w:val="24"/>
        </w:rPr>
        <w:t>-</w:t>
      </w:r>
      <w:r w:rsidRPr="006D7E17">
        <w:rPr>
          <w:rFonts w:ascii="Times New Roman" w:hAnsi="Times New Roman" w:cs="Times New Roman"/>
          <w:sz w:val="24"/>
          <w:szCs w:val="24"/>
        </w:rPr>
        <w:tab/>
        <w:t xml:space="preserve">Адрес за кореспонденция; </w:t>
      </w:r>
    </w:p>
    <w:p w14:paraId="531A2A27" w14:textId="4208ED34" w:rsidR="006D7E17" w:rsidRDefault="006D7E17" w:rsidP="006D7E17">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sidRPr="006D7E17">
        <w:rPr>
          <w:rFonts w:ascii="Times New Roman" w:hAnsi="Times New Roman" w:cs="Times New Roman"/>
          <w:sz w:val="24"/>
          <w:szCs w:val="24"/>
        </w:rPr>
        <w:t>-</w:t>
      </w:r>
      <w:r w:rsidRPr="006D7E17">
        <w:rPr>
          <w:rFonts w:ascii="Times New Roman" w:hAnsi="Times New Roman" w:cs="Times New Roman"/>
          <w:sz w:val="24"/>
          <w:szCs w:val="24"/>
        </w:rPr>
        <w:tab/>
        <w:t>УРН (</w:t>
      </w:r>
      <w:r>
        <w:rPr>
          <w:rFonts w:ascii="Times New Roman" w:hAnsi="Times New Roman" w:cs="Times New Roman"/>
          <w:sz w:val="24"/>
          <w:szCs w:val="24"/>
        </w:rPr>
        <w:t>в случай, че е издадено такова);</w:t>
      </w:r>
    </w:p>
    <w:p w14:paraId="2FBEB3EA" w14:textId="77777777" w:rsidR="006D7E17" w:rsidRDefault="006D7E17" w:rsidP="006D7E17">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p>
    <w:p w14:paraId="6B80AB85" w14:textId="5FF2036E" w:rsidR="006D7E17" w:rsidRDefault="006D7E17" w:rsidP="006D7E17">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Pr>
          <w:rFonts w:ascii="Times New Roman" w:hAnsi="Times New Roman" w:cs="Times New Roman"/>
          <w:sz w:val="24"/>
          <w:szCs w:val="24"/>
          <w:lang w:val="en-US"/>
        </w:rPr>
        <w:t>2.</w:t>
      </w:r>
      <w:r w:rsidR="007B7022">
        <w:rPr>
          <w:rFonts w:ascii="Times New Roman" w:hAnsi="Times New Roman" w:cs="Times New Roman"/>
          <w:sz w:val="24"/>
          <w:szCs w:val="24"/>
        </w:rPr>
        <w:t xml:space="preserve"> </w:t>
      </w:r>
      <w:r w:rsidR="007B7022" w:rsidRPr="007B7022">
        <w:rPr>
          <w:rFonts w:ascii="Times New Roman" w:hAnsi="Times New Roman" w:cs="Times New Roman"/>
          <w:sz w:val="24"/>
          <w:szCs w:val="24"/>
        </w:rPr>
        <w:t>Съответствие с критерий за оценка 3 „Брой население, което ще се възползва от подобрените основни услуги и обхвата на териториално въздействие“</w:t>
      </w:r>
      <w:r w:rsidR="00543AF6">
        <w:rPr>
          <w:rFonts w:ascii="Times New Roman" w:hAnsi="Times New Roman" w:cs="Times New Roman"/>
          <w:sz w:val="24"/>
          <w:szCs w:val="24"/>
        </w:rPr>
        <w:t>.</w:t>
      </w:r>
    </w:p>
    <w:p w14:paraId="007DEFB9" w14:textId="77777777" w:rsidR="007B7022" w:rsidRDefault="007B7022" w:rsidP="006D7E17">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p>
    <w:p w14:paraId="516D7264" w14:textId="069D1E6C" w:rsidR="007B7022" w:rsidRDefault="007B7022" w:rsidP="006D7E17">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Pr>
          <w:rFonts w:ascii="Times New Roman" w:hAnsi="Times New Roman" w:cs="Times New Roman"/>
          <w:sz w:val="24"/>
          <w:szCs w:val="24"/>
        </w:rPr>
        <w:lastRenderedPageBreak/>
        <w:t>3.</w:t>
      </w:r>
      <w:r w:rsidRPr="007B7022">
        <w:t xml:space="preserve"> </w:t>
      </w:r>
      <w:r w:rsidRPr="007B7022">
        <w:rPr>
          <w:rFonts w:ascii="Times New Roman" w:hAnsi="Times New Roman" w:cs="Times New Roman"/>
          <w:sz w:val="24"/>
          <w:szCs w:val="24"/>
        </w:rPr>
        <w:t>Съответствие с критерий за оценка 1: "Проекти, отговарящи на Приоритет 1 „Модернизирана базисна инфраструктура и качествена жизнена и околна среда“ на Общински план за развитие на община Поморие за периода 2014-2020г."</w:t>
      </w:r>
      <w:r w:rsidR="00543AF6">
        <w:rPr>
          <w:rFonts w:ascii="Times New Roman" w:hAnsi="Times New Roman" w:cs="Times New Roman"/>
          <w:sz w:val="24"/>
          <w:szCs w:val="24"/>
        </w:rPr>
        <w:t>.</w:t>
      </w:r>
    </w:p>
    <w:p w14:paraId="47FD55D8" w14:textId="77777777" w:rsidR="007B7022" w:rsidRDefault="007B7022" w:rsidP="006D7E17">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p>
    <w:p w14:paraId="6961AE3F" w14:textId="6AD2CE9C" w:rsidR="007B7022" w:rsidRPr="000B172D" w:rsidRDefault="007B7022" w:rsidP="006D7E17">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lang w:val="en-US"/>
        </w:rPr>
      </w:pPr>
      <w:r>
        <w:rPr>
          <w:rFonts w:ascii="Times New Roman" w:hAnsi="Times New Roman" w:cs="Times New Roman"/>
          <w:sz w:val="24"/>
          <w:szCs w:val="24"/>
        </w:rPr>
        <w:t>4.</w:t>
      </w:r>
      <w:r w:rsidRPr="007B7022">
        <w:t xml:space="preserve"> </w:t>
      </w:r>
      <w:r w:rsidRPr="007B7022">
        <w:rPr>
          <w:rFonts w:ascii="Times New Roman" w:hAnsi="Times New Roman" w:cs="Times New Roman"/>
          <w:sz w:val="24"/>
          <w:szCs w:val="24"/>
        </w:rPr>
        <w:t>Съответствие с критерий за оценка 7 „Проектът предвижда изграждане на достъпна инфраструктура за хора в неравностойно положение“</w:t>
      </w:r>
      <w:r w:rsidR="00543AF6">
        <w:rPr>
          <w:rFonts w:ascii="Times New Roman" w:hAnsi="Times New Roman" w:cs="Times New Roman"/>
          <w:sz w:val="24"/>
          <w:szCs w:val="24"/>
        </w:rPr>
        <w:t>.</w:t>
      </w:r>
    </w:p>
    <w:p w14:paraId="44A65E65" w14:textId="77777777" w:rsidR="007B7022" w:rsidRDefault="007B7022" w:rsidP="006D7E17">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p>
    <w:p w14:paraId="3D2794FD" w14:textId="0DAB8388" w:rsidR="007B7022" w:rsidRPr="006D7E17" w:rsidRDefault="007B7022" w:rsidP="006D7E17">
      <w:pPr>
        <w:pBdr>
          <w:top w:val="single" w:sz="4" w:space="1" w:color="auto"/>
          <w:left w:val="single" w:sz="4" w:space="4" w:color="auto"/>
          <w:bottom w:val="single" w:sz="4" w:space="1" w:color="auto"/>
          <w:right w:val="single" w:sz="4" w:space="4" w:color="auto"/>
        </w:pBdr>
        <w:spacing w:after="0"/>
        <w:jc w:val="both"/>
        <w:rPr>
          <w:rFonts w:ascii="Times New Roman" w:hAnsi="Times New Roman" w:cs="Times New Roman"/>
          <w:sz w:val="24"/>
          <w:szCs w:val="24"/>
        </w:rPr>
      </w:pPr>
      <w:r>
        <w:rPr>
          <w:rFonts w:ascii="Times New Roman" w:hAnsi="Times New Roman" w:cs="Times New Roman"/>
          <w:sz w:val="24"/>
          <w:szCs w:val="24"/>
        </w:rPr>
        <w:t xml:space="preserve">5. </w:t>
      </w:r>
      <w:r w:rsidRPr="007B7022">
        <w:rPr>
          <w:rFonts w:ascii="Times New Roman" w:hAnsi="Times New Roman" w:cs="Times New Roman"/>
          <w:sz w:val="24"/>
          <w:szCs w:val="24"/>
        </w:rPr>
        <w:t>В случай на кандидат община Поморие по дейност 4, подточки А), Б) и В)</w:t>
      </w:r>
      <w:r>
        <w:rPr>
          <w:rFonts w:ascii="Times New Roman" w:hAnsi="Times New Roman" w:cs="Times New Roman"/>
          <w:sz w:val="24"/>
          <w:szCs w:val="24"/>
        </w:rPr>
        <w:t xml:space="preserve">: </w:t>
      </w:r>
      <w:r w:rsidRPr="007B7022">
        <w:rPr>
          <w:rFonts w:ascii="Times New Roman" w:hAnsi="Times New Roman" w:cs="Times New Roman"/>
          <w:sz w:val="24"/>
          <w:szCs w:val="24"/>
        </w:rPr>
        <w:t>Община Поморие следва да представи обосновка, от която да е видно, че предвидените за изпълнение дейности са с неикономически характер.</w:t>
      </w:r>
    </w:p>
    <w:p w14:paraId="281F4026" w14:textId="77777777" w:rsidR="00913C01" w:rsidRDefault="00913C01" w:rsidP="008C5B0E">
      <w:pPr>
        <w:pStyle w:val="Heading2"/>
      </w:pPr>
      <w:bookmarkStart w:id="83" w:name="_Toc445385630"/>
      <w:bookmarkStart w:id="84" w:name="_Toc534292236"/>
    </w:p>
    <w:p w14:paraId="599090FA" w14:textId="1BA3D258" w:rsidR="00F63260" w:rsidRPr="007713C1" w:rsidRDefault="003B2B99" w:rsidP="008C5B0E">
      <w:pPr>
        <w:pStyle w:val="Heading2"/>
      </w:pPr>
      <w:r>
        <w:t>2</w:t>
      </w:r>
      <w:r w:rsidR="00883A6D">
        <w:t>7</w:t>
      </w:r>
      <w:r w:rsidR="00F059A2" w:rsidRPr="007713C1">
        <w:t>.</w:t>
      </w:r>
      <w:r w:rsidR="008C5B0E">
        <w:t>1</w:t>
      </w:r>
      <w:r w:rsidR="00F059A2" w:rsidRPr="007713C1">
        <w:t xml:space="preserve">. Допълнителни </w:t>
      </w:r>
      <w:r w:rsidR="00B71A31" w:rsidRPr="007713C1">
        <w:t>въпроси и разяснения във връзка с Условията</w:t>
      </w:r>
      <w:r w:rsidR="00F059A2" w:rsidRPr="007713C1">
        <w:t xml:space="preserve"> за кандидатстване</w:t>
      </w:r>
      <w:bookmarkEnd w:id="83"/>
      <w:bookmarkEnd w:id="84"/>
    </w:p>
    <w:tbl>
      <w:tblPr>
        <w:tblStyle w:val="TableGrid"/>
        <w:tblW w:w="0" w:type="auto"/>
        <w:tblInd w:w="-5" w:type="dxa"/>
        <w:tblLook w:val="04A0" w:firstRow="1" w:lastRow="0" w:firstColumn="1" w:lastColumn="0" w:noHBand="0" w:noVBand="1"/>
      </w:tblPr>
      <w:tblGrid>
        <w:gridCol w:w="9351"/>
      </w:tblGrid>
      <w:tr w:rsidR="00F059A2" w:rsidRPr="007713C1" w14:paraId="6994AB9C" w14:textId="77777777" w:rsidTr="00D80BFC">
        <w:tc>
          <w:tcPr>
            <w:tcW w:w="9351" w:type="dxa"/>
          </w:tcPr>
          <w:p w14:paraId="1A16A9CE" w14:textId="59A1A4CB" w:rsidR="00F059A2" w:rsidRPr="00C515C9" w:rsidRDefault="003F5080" w:rsidP="00B71A31">
            <w:pPr>
              <w:spacing w:before="120" w:after="120"/>
              <w:jc w:val="both"/>
              <w:rPr>
                <w:sz w:val="24"/>
                <w:szCs w:val="24"/>
              </w:rPr>
            </w:pPr>
            <w:bookmarkStart w:id="85" w:name="_Toc172021290"/>
            <w:r>
              <w:rPr>
                <w:b/>
                <w:sz w:val="24"/>
                <w:szCs w:val="24"/>
              </w:rPr>
              <w:t>В ИСУН 2020 и н</w:t>
            </w:r>
            <w:r w:rsidR="00F059A2" w:rsidRPr="007713C1">
              <w:rPr>
                <w:b/>
                <w:sz w:val="24"/>
                <w:szCs w:val="24"/>
              </w:rPr>
              <w:t>а посочения по-долу интернет адрес</w:t>
            </w:r>
            <w:r w:rsidR="00F059A2" w:rsidRPr="007713C1">
              <w:rPr>
                <w:sz w:val="24"/>
                <w:szCs w:val="24"/>
              </w:rPr>
              <w:t>, като ясно се посочва номера на поканата за набиране на предложения,</w:t>
            </w:r>
            <w:r w:rsidR="00F059A2" w:rsidRPr="007713C1" w:rsidDel="00AD7679">
              <w:rPr>
                <w:sz w:val="24"/>
                <w:szCs w:val="24"/>
              </w:rPr>
              <w:t xml:space="preserve"> </w:t>
            </w:r>
            <w:r w:rsidR="00F059A2" w:rsidRPr="007713C1">
              <w:rPr>
                <w:b/>
                <w:sz w:val="24"/>
                <w:szCs w:val="24"/>
              </w:rPr>
              <w:t>могат да се задават въпроси и да се искат допълнителни разяснения</w:t>
            </w:r>
            <w:r w:rsidR="00F059A2" w:rsidRPr="007713C1">
              <w:rPr>
                <w:sz w:val="24"/>
                <w:szCs w:val="24"/>
              </w:rPr>
              <w:t xml:space="preserve">, </w:t>
            </w:r>
            <w:r w:rsidR="00B71A31" w:rsidRPr="007713C1">
              <w:rPr>
                <w:sz w:val="24"/>
                <w:szCs w:val="24"/>
              </w:rPr>
              <w:t xml:space="preserve">в срок </w:t>
            </w:r>
            <w:r w:rsidR="00B71A31" w:rsidRPr="0083639A">
              <w:rPr>
                <w:sz w:val="24"/>
                <w:szCs w:val="24"/>
              </w:rPr>
              <w:t xml:space="preserve">до </w:t>
            </w:r>
            <w:r w:rsidR="00B71A31" w:rsidRPr="0083639A">
              <w:rPr>
                <w:i/>
                <w:sz w:val="24"/>
                <w:szCs w:val="24"/>
              </w:rPr>
              <w:t>три седмици преди изтичането на срока за кандидатстване</w:t>
            </w:r>
            <w:r w:rsidR="00B71A31" w:rsidRPr="0083639A">
              <w:rPr>
                <w:sz w:val="24"/>
                <w:szCs w:val="24"/>
              </w:rPr>
              <w:t>.</w:t>
            </w:r>
            <w:r w:rsidR="00F059A2" w:rsidRPr="0083639A">
              <w:rPr>
                <w:sz w:val="24"/>
                <w:szCs w:val="24"/>
              </w:rPr>
              <w:t xml:space="preserve"> /посочва се точна </w:t>
            </w:r>
            <w:r w:rsidR="00F059A2" w:rsidRPr="00C515C9">
              <w:rPr>
                <w:sz w:val="24"/>
                <w:szCs w:val="24"/>
              </w:rPr>
              <w:t>дата/:</w:t>
            </w:r>
            <w:bookmarkEnd w:id="85"/>
            <w:r w:rsidR="00F059A2" w:rsidRPr="00C515C9">
              <w:rPr>
                <w:sz w:val="24"/>
                <w:szCs w:val="24"/>
              </w:rPr>
              <w:t xml:space="preserve"> </w:t>
            </w:r>
            <w:r w:rsidR="00AD10A0" w:rsidRPr="00AD10A0">
              <w:rPr>
                <w:sz w:val="24"/>
                <w:szCs w:val="24"/>
              </w:rPr>
              <w:t>10.10.2022 г.</w:t>
            </w:r>
          </w:p>
          <w:p w14:paraId="727CF549" w14:textId="77777777" w:rsidR="00B0536E" w:rsidRPr="00C515C9" w:rsidRDefault="00386BB0" w:rsidP="00B71A31">
            <w:pPr>
              <w:spacing w:before="120" w:after="120"/>
              <w:jc w:val="both"/>
              <w:rPr>
                <w:color w:val="0000FF"/>
                <w:sz w:val="24"/>
                <w:szCs w:val="24"/>
                <w:lang w:val="en-US"/>
              </w:rPr>
            </w:pPr>
            <w:hyperlink r:id="rId28" w:history="1">
              <w:r w:rsidR="008378DE" w:rsidRPr="00C515C9">
                <w:rPr>
                  <w:rStyle w:val="Hyperlink"/>
                  <w:sz w:val="24"/>
                  <w:szCs w:val="24"/>
                  <w:lang w:val="en-US"/>
                </w:rPr>
                <w:t>office@mig-pomorie.eu</w:t>
              </w:r>
            </w:hyperlink>
            <w:r w:rsidR="0091748E" w:rsidRPr="00C515C9">
              <w:rPr>
                <w:color w:val="0000FF"/>
              </w:rPr>
              <w:t>.</w:t>
            </w:r>
          </w:p>
          <w:p w14:paraId="3EDAED3A" w14:textId="0A31417D" w:rsidR="00F059A2" w:rsidRPr="007713C1" w:rsidRDefault="00F059A2" w:rsidP="00B71A31">
            <w:pPr>
              <w:spacing w:before="120" w:after="120"/>
              <w:jc w:val="both"/>
              <w:rPr>
                <w:bCs/>
                <w:sz w:val="24"/>
                <w:szCs w:val="24"/>
              </w:rPr>
            </w:pPr>
            <w:r w:rsidRPr="00C515C9">
              <w:rPr>
                <w:bCs/>
                <w:sz w:val="24"/>
                <w:szCs w:val="24"/>
              </w:rPr>
              <w:t>Писмени разяс</w:t>
            </w:r>
            <w:r w:rsidR="00B71A31" w:rsidRPr="00C515C9">
              <w:rPr>
                <w:bCs/>
                <w:sz w:val="24"/>
                <w:szCs w:val="24"/>
              </w:rPr>
              <w:t xml:space="preserve">нения ще бъдат дадени в срок до </w:t>
            </w:r>
            <w:r w:rsidR="00B71A31" w:rsidRPr="00C515C9">
              <w:rPr>
                <w:bCs/>
                <w:i/>
                <w:sz w:val="24"/>
                <w:szCs w:val="24"/>
              </w:rPr>
              <w:t>две седмици преди изтичането на срока за кандидатстване</w:t>
            </w:r>
            <w:r w:rsidR="00B71A31" w:rsidRPr="00C515C9">
              <w:rPr>
                <w:bCs/>
                <w:sz w:val="24"/>
                <w:szCs w:val="24"/>
              </w:rPr>
              <w:t xml:space="preserve"> </w:t>
            </w:r>
            <w:r w:rsidRPr="00C515C9">
              <w:rPr>
                <w:bCs/>
                <w:sz w:val="24"/>
                <w:szCs w:val="24"/>
              </w:rPr>
              <w:t>/посочва се точна дата/</w:t>
            </w:r>
            <w:r w:rsidR="007943E2" w:rsidRPr="00C515C9">
              <w:rPr>
                <w:bCs/>
                <w:sz w:val="24"/>
                <w:szCs w:val="24"/>
              </w:rPr>
              <w:t xml:space="preserve">: </w:t>
            </w:r>
            <w:r w:rsidR="00AD10A0" w:rsidRPr="00AD10A0">
              <w:rPr>
                <w:bCs/>
                <w:sz w:val="24"/>
                <w:szCs w:val="24"/>
              </w:rPr>
              <w:t>17.10.2022 г.</w:t>
            </w:r>
          </w:p>
          <w:p w14:paraId="6FCB9FB6" w14:textId="77777777" w:rsidR="00F059A2" w:rsidRPr="007713C1" w:rsidRDefault="00F059A2" w:rsidP="00B71A31">
            <w:pPr>
              <w:pStyle w:val="BodyText3"/>
              <w:spacing w:before="120"/>
              <w:jc w:val="both"/>
              <w:rPr>
                <w:sz w:val="24"/>
                <w:szCs w:val="24"/>
              </w:rPr>
            </w:pPr>
            <w:r w:rsidRPr="007713C1">
              <w:rPr>
                <w:sz w:val="24"/>
                <w:szCs w:val="24"/>
              </w:rPr>
              <w:t xml:space="preserve">С оглед осигуряване равнопоставено третиране на кандидатите, </w:t>
            </w:r>
            <w:r w:rsidR="008378DE">
              <w:rPr>
                <w:sz w:val="24"/>
                <w:szCs w:val="24"/>
              </w:rPr>
              <w:t>МИГ</w:t>
            </w:r>
            <w:r w:rsidRPr="007713C1">
              <w:rPr>
                <w:sz w:val="24"/>
                <w:szCs w:val="24"/>
              </w:rPr>
              <w:t xml:space="preserve"> няма да дава разяснения, които съдържат становище относно качеството на конкретно проектно предложение.</w:t>
            </w:r>
            <w:r w:rsidR="00B71A31" w:rsidRPr="007713C1">
              <w:rPr>
                <w:sz w:val="24"/>
                <w:szCs w:val="24"/>
              </w:rPr>
              <w:t xml:space="preserve"> </w:t>
            </w:r>
            <w:r w:rsidR="00B71A31" w:rsidRPr="007713C1">
              <w:rPr>
                <w:color w:val="000000"/>
                <w:sz w:val="24"/>
                <w:szCs w:val="24"/>
              </w:rPr>
              <w:t>Разяснения се дават по отношение на условията за кандидатстване и са задължителни за всички кандидати.</w:t>
            </w:r>
          </w:p>
          <w:p w14:paraId="71BAFA8E" w14:textId="780AAE3E" w:rsidR="00F059A2" w:rsidRPr="007713C1" w:rsidRDefault="00F059A2" w:rsidP="00F059A2">
            <w:pPr>
              <w:pStyle w:val="BodyText3"/>
              <w:spacing w:before="120"/>
              <w:rPr>
                <w:sz w:val="24"/>
                <w:szCs w:val="24"/>
              </w:rPr>
            </w:pPr>
            <w:r w:rsidRPr="007713C1">
              <w:rPr>
                <w:sz w:val="24"/>
                <w:szCs w:val="24"/>
              </w:rPr>
              <w:t xml:space="preserve">Въпросите и разясненията ще бъдат публикувани </w:t>
            </w:r>
            <w:r w:rsidR="003F5080">
              <w:rPr>
                <w:sz w:val="24"/>
                <w:szCs w:val="24"/>
              </w:rPr>
              <w:t xml:space="preserve">в ИСУН и </w:t>
            </w:r>
            <w:r w:rsidRPr="007713C1">
              <w:rPr>
                <w:sz w:val="24"/>
                <w:szCs w:val="24"/>
              </w:rPr>
              <w:t>на следн</w:t>
            </w:r>
            <w:r w:rsidR="001427F5">
              <w:rPr>
                <w:sz w:val="24"/>
                <w:szCs w:val="24"/>
              </w:rPr>
              <w:t>ата</w:t>
            </w:r>
            <w:r w:rsidRPr="007713C1">
              <w:rPr>
                <w:sz w:val="24"/>
                <w:szCs w:val="24"/>
              </w:rPr>
              <w:t xml:space="preserve"> интернет-страниц</w:t>
            </w:r>
            <w:r w:rsidR="001427F5">
              <w:rPr>
                <w:sz w:val="24"/>
                <w:szCs w:val="24"/>
              </w:rPr>
              <w:t>а</w:t>
            </w:r>
            <w:r w:rsidRPr="007713C1">
              <w:rPr>
                <w:sz w:val="24"/>
                <w:szCs w:val="24"/>
              </w:rPr>
              <w:t>:</w:t>
            </w:r>
          </w:p>
          <w:p w14:paraId="2D2B1A17" w14:textId="77777777" w:rsidR="00F059A2" w:rsidRPr="008378DE" w:rsidRDefault="00386BB0" w:rsidP="008378DE">
            <w:pPr>
              <w:spacing w:before="120" w:after="120"/>
              <w:jc w:val="both"/>
              <w:rPr>
                <w:color w:val="0000FF"/>
                <w:sz w:val="24"/>
                <w:szCs w:val="24"/>
                <w:lang w:val="en-US"/>
              </w:rPr>
            </w:pPr>
            <w:hyperlink r:id="rId29" w:history="1">
              <w:r w:rsidR="001427F5" w:rsidRPr="004F1FBA">
                <w:rPr>
                  <w:rStyle w:val="Hyperlink"/>
                  <w:sz w:val="24"/>
                  <w:szCs w:val="24"/>
                </w:rPr>
                <w:t>http://mig-pomorie.eu/</w:t>
              </w:r>
            </w:hyperlink>
            <w:r w:rsidR="008378DE">
              <w:rPr>
                <w:color w:val="0000FF"/>
                <w:sz w:val="24"/>
                <w:szCs w:val="24"/>
              </w:rPr>
              <w:t xml:space="preserve"> </w:t>
            </w:r>
            <w:r w:rsidR="00F059A2" w:rsidRPr="00A129AF">
              <w:rPr>
                <w:sz w:val="24"/>
                <w:szCs w:val="24"/>
              </w:rPr>
              <w:t>към документите по процедурата</w:t>
            </w:r>
            <w:r w:rsidR="001427F5">
              <w:rPr>
                <w:sz w:val="24"/>
                <w:szCs w:val="24"/>
              </w:rPr>
              <w:t>.</w:t>
            </w:r>
          </w:p>
        </w:tc>
      </w:tr>
    </w:tbl>
    <w:p w14:paraId="078875EA" w14:textId="20C9EA1A" w:rsidR="004E418C" w:rsidRPr="00E568E5" w:rsidRDefault="004E418C" w:rsidP="00E568E5">
      <w:pPr>
        <w:pStyle w:val="Heading2"/>
        <w:shd w:val="clear" w:color="auto" w:fill="FFFFFF" w:themeFill="background1"/>
      </w:pPr>
      <w:bookmarkStart w:id="86" w:name="_Toc534292237"/>
      <w:bookmarkStart w:id="87" w:name="_Toc445385631"/>
      <w:r w:rsidRPr="00E568E5">
        <w:t>2</w:t>
      </w:r>
      <w:r w:rsidR="00883A6D">
        <w:t>7</w:t>
      </w:r>
      <w:r w:rsidRPr="00E568E5">
        <w:t>.</w:t>
      </w:r>
      <w:r w:rsidR="008C5B0E">
        <w:t>2</w:t>
      </w:r>
      <w:r w:rsidRPr="00E568E5">
        <w:t>. Уведомяване относно предварителното решение на МИГ</w:t>
      </w:r>
      <w:bookmarkEnd w:id="86"/>
    </w:p>
    <w:tbl>
      <w:tblPr>
        <w:tblStyle w:val="TableGrid"/>
        <w:tblW w:w="0" w:type="auto"/>
        <w:tblLook w:val="04A0" w:firstRow="1" w:lastRow="0" w:firstColumn="1" w:lastColumn="0" w:noHBand="0" w:noVBand="1"/>
      </w:tblPr>
      <w:tblGrid>
        <w:gridCol w:w="9346"/>
      </w:tblGrid>
      <w:tr w:rsidR="004E418C" w:rsidRPr="00661B8E" w14:paraId="03F4504B" w14:textId="77777777" w:rsidTr="00BC5595">
        <w:tc>
          <w:tcPr>
            <w:tcW w:w="9496" w:type="dxa"/>
          </w:tcPr>
          <w:p w14:paraId="19203740" w14:textId="77777777" w:rsidR="004E418C" w:rsidRPr="00E568E5" w:rsidRDefault="00836CD3" w:rsidP="00E568E5">
            <w:pPr>
              <w:shd w:val="clear" w:color="auto" w:fill="FFFFFF" w:themeFill="background1"/>
              <w:jc w:val="both"/>
              <w:rPr>
                <w:sz w:val="24"/>
                <w:szCs w:val="24"/>
              </w:rPr>
            </w:pPr>
            <w:r w:rsidRPr="00E568E5">
              <w:rPr>
                <w:sz w:val="24"/>
                <w:szCs w:val="24"/>
              </w:rPr>
              <w:t xml:space="preserve">В срок до </w:t>
            </w:r>
            <w:r w:rsidR="00111693" w:rsidRPr="00E568E5">
              <w:rPr>
                <w:sz w:val="24"/>
                <w:szCs w:val="24"/>
              </w:rPr>
              <w:t>5</w:t>
            </w:r>
            <w:r w:rsidRPr="00E568E5">
              <w:rPr>
                <w:sz w:val="24"/>
                <w:szCs w:val="24"/>
              </w:rPr>
              <w:t xml:space="preserve"> работни дни от одобрение на оценителния доклад  от председателя на УС на МИГ, МИГ изпраща уведомително писмо на всеки кандидат за предварително одобряване или отхвърляне на заявлението, с мотивите за отказ. Писмото се изпраща до кандидата с обратна разписка или се получава лично от него в офиса на МИГ, което се удостоверява с подпис.</w:t>
            </w:r>
          </w:p>
        </w:tc>
      </w:tr>
    </w:tbl>
    <w:p w14:paraId="5B98BF23" w14:textId="77777777" w:rsidR="00A43A9A" w:rsidRDefault="00A43A9A" w:rsidP="00E568E5">
      <w:pPr>
        <w:pStyle w:val="Heading2"/>
        <w:shd w:val="clear" w:color="auto" w:fill="FFFFFF" w:themeFill="background1"/>
      </w:pPr>
      <w:bookmarkStart w:id="88" w:name="_Toc534292238"/>
    </w:p>
    <w:p w14:paraId="4EB91002" w14:textId="09EA4BA7" w:rsidR="00F059A2" w:rsidRPr="00E568E5" w:rsidRDefault="003B2B99" w:rsidP="00E568E5">
      <w:pPr>
        <w:pStyle w:val="Heading2"/>
        <w:shd w:val="clear" w:color="auto" w:fill="FFFFFF" w:themeFill="background1"/>
      </w:pPr>
      <w:r w:rsidRPr="00E568E5">
        <w:lastRenderedPageBreak/>
        <w:t>2</w:t>
      </w:r>
      <w:r w:rsidR="00883A6D">
        <w:t>7</w:t>
      </w:r>
      <w:r w:rsidR="004E418C" w:rsidRPr="00E568E5">
        <w:t>.</w:t>
      </w:r>
      <w:r w:rsidR="008C5B0E">
        <w:t>3.</w:t>
      </w:r>
      <w:r w:rsidR="00D67E90" w:rsidRPr="00E568E5">
        <w:t xml:space="preserve"> </w:t>
      </w:r>
      <w:r w:rsidR="00325CC3" w:rsidRPr="00E568E5">
        <w:t>Процедура за възражения относно оценката</w:t>
      </w:r>
      <w:bookmarkEnd w:id="87"/>
      <w:bookmarkEnd w:id="88"/>
    </w:p>
    <w:tbl>
      <w:tblPr>
        <w:tblStyle w:val="TableGrid"/>
        <w:tblW w:w="0" w:type="auto"/>
        <w:tblLook w:val="04A0" w:firstRow="1" w:lastRow="0" w:firstColumn="1" w:lastColumn="0" w:noHBand="0" w:noVBand="1"/>
      </w:tblPr>
      <w:tblGrid>
        <w:gridCol w:w="9346"/>
      </w:tblGrid>
      <w:tr w:rsidR="00D67E90" w:rsidRPr="00661B8E" w14:paraId="4364CD30" w14:textId="77777777" w:rsidTr="00D67E90">
        <w:tc>
          <w:tcPr>
            <w:tcW w:w="9496" w:type="dxa"/>
          </w:tcPr>
          <w:p w14:paraId="2CA7F07F" w14:textId="3DF22983" w:rsidR="009D2FBF" w:rsidRDefault="009D2FBF" w:rsidP="00E568E5">
            <w:pPr>
              <w:shd w:val="clear" w:color="auto" w:fill="FFFFFF" w:themeFill="background1"/>
              <w:jc w:val="both"/>
              <w:rPr>
                <w:sz w:val="24"/>
                <w:szCs w:val="24"/>
              </w:rPr>
            </w:pPr>
            <w:r w:rsidRPr="00E568E5">
              <w:rPr>
                <w:sz w:val="24"/>
                <w:szCs w:val="24"/>
              </w:rPr>
              <w:t xml:space="preserve">Всеки кандидат, получил уведомително писмо от МИГ, че проектното му предложение не е одобрено или че е частично одобрено, има право да възрази пред </w:t>
            </w:r>
            <w:r w:rsidR="00E14E53" w:rsidRPr="00E568E5">
              <w:rPr>
                <w:sz w:val="24"/>
                <w:szCs w:val="24"/>
              </w:rPr>
              <w:t>Държавен фонд “Земеделие”</w:t>
            </w:r>
            <w:r w:rsidRPr="00E568E5">
              <w:rPr>
                <w:sz w:val="24"/>
                <w:szCs w:val="24"/>
              </w:rPr>
              <w:t xml:space="preserve"> в срок до 3 работни дни от датата на получаването на уведомлението.</w:t>
            </w:r>
          </w:p>
          <w:p w14:paraId="0678A4E1" w14:textId="77777777" w:rsidR="006F7C9D" w:rsidRDefault="006F7C9D" w:rsidP="00E568E5">
            <w:pPr>
              <w:shd w:val="clear" w:color="auto" w:fill="FFFFFF" w:themeFill="background1"/>
              <w:jc w:val="both"/>
              <w:rPr>
                <w:sz w:val="24"/>
                <w:szCs w:val="24"/>
              </w:rPr>
            </w:pPr>
          </w:p>
          <w:p w14:paraId="5D5A11F2" w14:textId="47DBB474" w:rsidR="006F7C9D" w:rsidRPr="00E568E5" w:rsidRDefault="006F7C9D" w:rsidP="006F7C9D">
            <w:pPr>
              <w:shd w:val="clear" w:color="auto" w:fill="FFFFFF" w:themeFill="background1"/>
              <w:jc w:val="both"/>
              <w:rPr>
                <w:sz w:val="24"/>
                <w:szCs w:val="24"/>
              </w:rPr>
            </w:pPr>
            <w:r w:rsidRPr="006F7C9D">
              <w:rPr>
                <w:sz w:val="24"/>
                <w:szCs w:val="24"/>
              </w:rPr>
              <w:t>Държавен фонд "Земеделие" извършва проверка за спазване на процедурата по подбор на проектни предложения, финансирани изцяло или частично от ЕЗФРСР, в срок до 1 месец от изготвянето на доклада по чл. 44, ал. 3 от ПМС № 161 в ИСУН.</w:t>
            </w:r>
          </w:p>
          <w:p w14:paraId="6873F402" w14:textId="6D291198" w:rsidR="003B2B99" w:rsidRPr="00E568E5" w:rsidRDefault="003B2B99" w:rsidP="00E568E5">
            <w:pPr>
              <w:shd w:val="clear" w:color="auto" w:fill="FFFFFF" w:themeFill="background1"/>
              <w:jc w:val="both"/>
              <w:rPr>
                <w:szCs w:val="24"/>
              </w:rPr>
            </w:pPr>
          </w:p>
        </w:tc>
      </w:tr>
    </w:tbl>
    <w:p w14:paraId="3BF67145" w14:textId="77777777" w:rsidR="00913C01" w:rsidRPr="0078072A" w:rsidRDefault="00913C01" w:rsidP="0078072A">
      <w:bookmarkStart w:id="89" w:name="_Toc445385635"/>
      <w:bookmarkStart w:id="90" w:name="_GoBack"/>
      <w:bookmarkEnd w:id="90"/>
    </w:p>
    <w:p w14:paraId="3CB75B88" w14:textId="52A6A885" w:rsidR="00EC51FD" w:rsidRPr="006F7C9D" w:rsidRDefault="006C15B1" w:rsidP="006F7C9D">
      <w:pPr>
        <w:pStyle w:val="Heading1"/>
      </w:pPr>
      <w:bookmarkStart w:id="91" w:name="_Toc534292239"/>
      <w:r w:rsidRPr="00636AB4">
        <w:t>2</w:t>
      </w:r>
      <w:r w:rsidR="00883A6D" w:rsidRPr="00636AB4">
        <w:t>8</w:t>
      </w:r>
      <w:r w:rsidR="00D67E90" w:rsidRPr="00636AB4">
        <w:t xml:space="preserve">. Приложения към Условията за </w:t>
      </w:r>
      <w:r w:rsidR="007F4984" w:rsidRPr="00636AB4">
        <w:t>кандидатстване</w:t>
      </w:r>
      <w:r w:rsidR="00D67E90" w:rsidRPr="00636AB4">
        <w:t>:</w:t>
      </w:r>
      <w:bookmarkEnd w:id="89"/>
      <w:bookmarkEnd w:id="91"/>
    </w:p>
    <w:tbl>
      <w:tblPr>
        <w:tblStyle w:val="TableGrid"/>
        <w:tblW w:w="0" w:type="auto"/>
        <w:tblLook w:val="04A0" w:firstRow="1" w:lastRow="0" w:firstColumn="1" w:lastColumn="0" w:noHBand="0" w:noVBand="1"/>
      </w:tblPr>
      <w:tblGrid>
        <w:gridCol w:w="9346"/>
      </w:tblGrid>
      <w:tr w:rsidR="00883A6D" w:rsidRPr="007713C1" w14:paraId="560CAE38" w14:textId="77777777" w:rsidTr="00C7319E">
        <w:tc>
          <w:tcPr>
            <w:tcW w:w="9496" w:type="dxa"/>
          </w:tcPr>
          <w:p w14:paraId="7CBA5389" w14:textId="5B2BD114" w:rsidR="00636AB4" w:rsidRPr="00636AB4" w:rsidRDefault="00636AB4" w:rsidP="00C7319E">
            <w:pPr>
              <w:spacing w:before="120" w:after="120"/>
              <w:jc w:val="both"/>
              <w:rPr>
                <w:b/>
                <w:sz w:val="24"/>
                <w:szCs w:val="24"/>
              </w:rPr>
            </w:pPr>
            <w:r w:rsidRPr="00636AB4">
              <w:rPr>
                <w:b/>
                <w:sz w:val="24"/>
                <w:szCs w:val="24"/>
              </w:rPr>
              <w:t>ЗА ПОПЪЛВАНЕ</w:t>
            </w:r>
          </w:p>
          <w:p w14:paraId="4C6B1E9A" w14:textId="51F6F53C" w:rsidR="00883A6D" w:rsidRPr="00511578" w:rsidRDefault="00636AB4" w:rsidP="00C7319E">
            <w:pPr>
              <w:spacing w:before="120" w:after="120"/>
              <w:jc w:val="both"/>
              <w:rPr>
                <w:sz w:val="24"/>
                <w:szCs w:val="24"/>
              </w:rPr>
            </w:pPr>
            <w:r w:rsidRPr="00636AB4">
              <w:rPr>
                <w:sz w:val="24"/>
                <w:szCs w:val="24"/>
              </w:rPr>
              <w:t>1.</w:t>
            </w:r>
            <w:r w:rsidR="00511578">
              <w:rPr>
                <w:sz w:val="24"/>
                <w:szCs w:val="24"/>
              </w:rPr>
              <w:t xml:space="preserve"> </w:t>
            </w:r>
            <w:r w:rsidR="00511578">
              <w:rPr>
                <w:sz w:val="24"/>
                <w:szCs w:val="24"/>
                <w:lang w:val="en-US"/>
              </w:rPr>
              <w:t xml:space="preserve">Приложение </w:t>
            </w:r>
            <w:r w:rsidR="00511578">
              <w:rPr>
                <w:sz w:val="24"/>
                <w:szCs w:val="24"/>
              </w:rPr>
              <w:t>№</w:t>
            </w:r>
            <w:r w:rsidR="00511578">
              <w:rPr>
                <w:sz w:val="24"/>
                <w:szCs w:val="24"/>
                <w:lang w:val="en-US"/>
              </w:rPr>
              <w:t xml:space="preserve">1 </w:t>
            </w:r>
            <w:r w:rsidR="00786898">
              <w:rPr>
                <w:sz w:val="24"/>
                <w:szCs w:val="24"/>
                <w:lang w:val="en-US"/>
              </w:rPr>
              <w:t>Таблица за допустими инвестиции</w:t>
            </w:r>
            <w:r w:rsidR="00511578">
              <w:rPr>
                <w:sz w:val="24"/>
                <w:szCs w:val="24"/>
              </w:rPr>
              <w:t>;</w:t>
            </w:r>
          </w:p>
          <w:p w14:paraId="5F74AB5A" w14:textId="5487B93D" w:rsidR="00636AB4" w:rsidRPr="00636AB4" w:rsidRDefault="00511578" w:rsidP="00C7319E">
            <w:pPr>
              <w:spacing w:before="120" w:after="120"/>
              <w:jc w:val="both"/>
              <w:rPr>
                <w:sz w:val="24"/>
                <w:szCs w:val="24"/>
              </w:rPr>
            </w:pPr>
            <w:r>
              <w:rPr>
                <w:sz w:val="24"/>
                <w:szCs w:val="24"/>
              </w:rPr>
              <w:t xml:space="preserve">2. Приложение №2 </w:t>
            </w:r>
            <w:r w:rsidR="00786898" w:rsidRPr="00786898">
              <w:rPr>
                <w:sz w:val="24"/>
                <w:szCs w:val="24"/>
              </w:rPr>
              <w:t>Декларация по чл. 19 и 20 от Закона за защита на личните данни</w:t>
            </w:r>
            <w:r>
              <w:rPr>
                <w:sz w:val="24"/>
                <w:szCs w:val="24"/>
              </w:rPr>
              <w:t>;</w:t>
            </w:r>
          </w:p>
          <w:p w14:paraId="6DB85A67" w14:textId="1BD85027" w:rsidR="00636AB4" w:rsidRPr="00636AB4" w:rsidRDefault="00636AB4" w:rsidP="00C7319E">
            <w:pPr>
              <w:spacing w:before="120" w:after="120"/>
              <w:jc w:val="both"/>
              <w:rPr>
                <w:sz w:val="24"/>
                <w:szCs w:val="24"/>
              </w:rPr>
            </w:pPr>
            <w:r w:rsidRPr="00636AB4">
              <w:rPr>
                <w:sz w:val="24"/>
                <w:szCs w:val="24"/>
              </w:rPr>
              <w:t xml:space="preserve">3. </w:t>
            </w:r>
            <w:r w:rsidR="00511578">
              <w:rPr>
                <w:sz w:val="24"/>
                <w:szCs w:val="24"/>
              </w:rPr>
              <w:t xml:space="preserve">Приложение №3 Декларация за </w:t>
            </w:r>
            <w:r w:rsidRPr="00636AB4">
              <w:rPr>
                <w:sz w:val="24"/>
                <w:szCs w:val="24"/>
              </w:rPr>
              <w:t>нередности</w:t>
            </w:r>
            <w:r w:rsidR="00511578">
              <w:rPr>
                <w:sz w:val="24"/>
                <w:szCs w:val="24"/>
              </w:rPr>
              <w:t>;</w:t>
            </w:r>
          </w:p>
          <w:p w14:paraId="23FFD1A0" w14:textId="2D03AF6F" w:rsidR="00636AB4" w:rsidRPr="00636AB4" w:rsidRDefault="00511578" w:rsidP="00C7319E">
            <w:pPr>
              <w:spacing w:before="120" w:after="120"/>
              <w:jc w:val="both"/>
              <w:rPr>
                <w:sz w:val="24"/>
                <w:szCs w:val="24"/>
              </w:rPr>
            </w:pPr>
            <w:r>
              <w:rPr>
                <w:sz w:val="24"/>
                <w:szCs w:val="24"/>
              </w:rPr>
              <w:t xml:space="preserve">4. Приложение № 4 </w:t>
            </w:r>
            <w:r w:rsidR="00786898">
              <w:rPr>
                <w:sz w:val="24"/>
                <w:szCs w:val="24"/>
              </w:rPr>
              <w:t xml:space="preserve">Формуляр за </w:t>
            </w:r>
            <w:r w:rsidR="00636AB4" w:rsidRPr="00636AB4">
              <w:rPr>
                <w:sz w:val="24"/>
                <w:szCs w:val="24"/>
              </w:rPr>
              <w:t>мониторинг</w:t>
            </w:r>
            <w:r>
              <w:rPr>
                <w:sz w:val="24"/>
                <w:szCs w:val="24"/>
              </w:rPr>
              <w:t>;</w:t>
            </w:r>
          </w:p>
          <w:p w14:paraId="42989BD8" w14:textId="3F0C6221" w:rsidR="00636AB4" w:rsidRPr="00636AB4" w:rsidRDefault="00945629" w:rsidP="00C7319E">
            <w:pPr>
              <w:spacing w:before="120" w:after="120"/>
              <w:jc w:val="both"/>
              <w:rPr>
                <w:sz w:val="24"/>
                <w:szCs w:val="24"/>
              </w:rPr>
            </w:pPr>
            <w:r>
              <w:rPr>
                <w:sz w:val="24"/>
                <w:szCs w:val="24"/>
              </w:rPr>
              <w:t>5. Приложение № 5</w:t>
            </w:r>
            <w:r w:rsidR="00511578">
              <w:rPr>
                <w:sz w:val="24"/>
                <w:szCs w:val="24"/>
              </w:rPr>
              <w:t xml:space="preserve"> </w:t>
            </w:r>
            <w:r w:rsidR="00DD3EA1">
              <w:rPr>
                <w:sz w:val="24"/>
                <w:szCs w:val="24"/>
              </w:rPr>
              <w:t xml:space="preserve">Декларация </w:t>
            </w:r>
            <w:r w:rsidR="00DD3EA1" w:rsidRPr="00DD3EA1">
              <w:rPr>
                <w:sz w:val="24"/>
                <w:szCs w:val="24"/>
              </w:rPr>
              <w:t>за липса на основания за отстраняване</w:t>
            </w:r>
            <w:r w:rsidR="00786898">
              <w:rPr>
                <w:sz w:val="24"/>
                <w:szCs w:val="24"/>
              </w:rPr>
              <w:t xml:space="preserve"> </w:t>
            </w:r>
            <w:r w:rsidR="00511578">
              <w:rPr>
                <w:sz w:val="24"/>
                <w:szCs w:val="24"/>
              </w:rPr>
              <w:t>;</w:t>
            </w:r>
          </w:p>
          <w:p w14:paraId="13E7953B" w14:textId="6451E00F" w:rsidR="00636AB4" w:rsidRPr="00636AB4" w:rsidRDefault="00945629" w:rsidP="00C7319E">
            <w:pPr>
              <w:spacing w:before="120" w:after="120"/>
              <w:jc w:val="both"/>
              <w:rPr>
                <w:sz w:val="24"/>
                <w:szCs w:val="24"/>
              </w:rPr>
            </w:pPr>
            <w:r>
              <w:rPr>
                <w:sz w:val="24"/>
                <w:szCs w:val="24"/>
              </w:rPr>
              <w:t>6. Приложение № 6</w:t>
            </w:r>
            <w:r w:rsidR="00511578">
              <w:rPr>
                <w:sz w:val="24"/>
                <w:szCs w:val="24"/>
              </w:rPr>
              <w:t xml:space="preserve"> </w:t>
            </w:r>
            <w:r w:rsidR="003D4C55">
              <w:rPr>
                <w:sz w:val="24"/>
                <w:szCs w:val="24"/>
              </w:rPr>
              <w:t xml:space="preserve">Декларация за неприложими </w:t>
            </w:r>
            <w:r w:rsidR="00636AB4" w:rsidRPr="00636AB4">
              <w:rPr>
                <w:sz w:val="24"/>
                <w:szCs w:val="24"/>
              </w:rPr>
              <w:t>документи</w:t>
            </w:r>
            <w:r w:rsidR="00511578">
              <w:rPr>
                <w:sz w:val="24"/>
                <w:szCs w:val="24"/>
              </w:rPr>
              <w:t>;</w:t>
            </w:r>
          </w:p>
          <w:p w14:paraId="758546BB" w14:textId="51D0A1F4" w:rsidR="00636AB4" w:rsidRPr="00636AB4" w:rsidRDefault="00945629" w:rsidP="00C7319E">
            <w:pPr>
              <w:spacing w:before="120" w:after="120"/>
              <w:jc w:val="both"/>
              <w:rPr>
                <w:sz w:val="24"/>
                <w:szCs w:val="24"/>
              </w:rPr>
            </w:pPr>
            <w:r>
              <w:rPr>
                <w:sz w:val="24"/>
                <w:szCs w:val="24"/>
              </w:rPr>
              <w:t>7. Приложение № 7</w:t>
            </w:r>
            <w:r w:rsidR="00511578">
              <w:rPr>
                <w:sz w:val="24"/>
                <w:szCs w:val="24"/>
              </w:rPr>
              <w:t xml:space="preserve"> </w:t>
            </w:r>
            <w:r w:rsidR="003D4C55">
              <w:rPr>
                <w:sz w:val="24"/>
                <w:szCs w:val="24"/>
              </w:rPr>
              <w:t xml:space="preserve">Декларация </w:t>
            </w:r>
            <w:r w:rsidR="00636AB4" w:rsidRPr="00636AB4">
              <w:rPr>
                <w:sz w:val="24"/>
                <w:szCs w:val="24"/>
              </w:rPr>
              <w:t>НСИ</w:t>
            </w:r>
            <w:r w:rsidR="00511578">
              <w:rPr>
                <w:sz w:val="24"/>
                <w:szCs w:val="24"/>
              </w:rPr>
              <w:t>;</w:t>
            </w:r>
          </w:p>
          <w:p w14:paraId="68228463" w14:textId="35DC4E7A" w:rsidR="00636AB4" w:rsidRDefault="00945629" w:rsidP="00C7319E">
            <w:pPr>
              <w:spacing w:before="120" w:after="120"/>
              <w:jc w:val="both"/>
              <w:rPr>
                <w:sz w:val="24"/>
                <w:szCs w:val="24"/>
              </w:rPr>
            </w:pPr>
            <w:r>
              <w:rPr>
                <w:sz w:val="24"/>
                <w:szCs w:val="24"/>
              </w:rPr>
              <w:t>8. Приложение № 8</w:t>
            </w:r>
            <w:r w:rsidR="00511578">
              <w:rPr>
                <w:sz w:val="24"/>
                <w:szCs w:val="24"/>
              </w:rPr>
              <w:t xml:space="preserve"> </w:t>
            </w:r>
            <w:r w:rsidR="003D4C55">
              <w:rPr>
                <w:sz w:val="24"/>
                <w:szCs w:val="24"/>
              </w:rPr>
              <w:t xml:space="preserve">Декларация за генериране на нетни </w:t>
            </w:r>
            <w:r w:rsidR="00636AB4" w:rsidRPr="00636AB4">
              <w:rPr>
                <w:sz w:val="24"/>
                <w:szCs w:val="24"/>
              </w:rPr>
              <w:t>приходи</w:t>
            </w:r>
            <w:r w:rsidR="00511578">
              <w:rPr>
                <w:sz w:val="24"/>
                <w:szCs w:val="24"/>
              </w:rPr>
              <w:t>;</w:t>
            </w:r>
          </w:p>
          <w:p w14:paraId="34542F7E" w14:textId="285AACA0" w:rsidR="00A50EB9" w:rsidRPr="00511578" w:rsidRDefault="00945629" w:rsidP="00C7319E">
            <w:pPr>
              <w:spacing w:before="120" w:after="120"/>
              <w:jc w:val="both"/>
              <w:rPr>
                <w:sz w:val="24"/>
                <w:szCs w:val="24"/>
              </w:rPr>
            </w:pPr>
            <w:r>
              <w:rPr>
                <w:sz w:val="24"/>
                <w:szCs w:val="24"/>
              </w:rPr>
              <w:t>9</w:t>
            </w:r>
            <w:r w:rsidR="00511578">
              <w:rPr>
                <w:sz w:val="24"/>
                <w:szCs w:val="24"/>
              </w:rPr>
              <w:t xml:space="preserve">. Приложение № </w:t>
            </w:r>
            <w:r>
              <w:rPr>
                <w:sz w:val="24"/>
                <w:szCs w:val="24"/>
              </w:rPr>
              <w:t>9</w:t>
            </w:r>
            <w:r w:rsidR="00A50EB9">
              <w:rPr>
                <w:sz w:val="24"/>
                <w:szCs w:val="24"/>
              </w:rPr>
              <w:t xml:space="preserve">.1. Анализ разходи </w:t>
            </w:r>
            <w:r w:rsidR="00A50EB9" w:rsidRPr="00A50EB9">
              <w:rPr>
                <w:sz w:val="24"/>
                <w:szCs w:val="24"/>
              </w:rPr>
              <w:t>ползи</w:t>
            </w:r>
            <w:r w:rsidR="00A50EB9">
              <w:rPr>
                <w:sz w:val="24"/>
                <w:szCs w:val="24"/>
              </w:rPr>
              <w:t xml:space="preserve"> </w:t>
            </w:r>
            <w:r w:rsidR="00511578">
              <w:rPr>
                <w:sz w:val="24"/>
                <w:szCs w:val="24"/>
              </w:rPr>
              <w:t>–</w:t>
            </w:r>
            <w:r w:rsidR="00A50EB9">
              <w:rPr>
                <w:sz w:val="24"/>
                <w:szCs w:val="24"/>
              </w:rPr>
              <w:t xml:space="preserve"> </w:t>
            </w:r>
            <w:r w:rsidR="00A50EB9">
              <w:rPr>
                <w:sz w:val="24"/>
                <w:szCs w:val="24"/>
                <w:lang w:val="en-US"/>
              </w:rPr>
              <w:t>word</w:t>
            </w:r>
            <w:r w:rsidR="00511578">
              <w:rPr>
                <w:sz w:val="24"/>
                <w:szCs w:val="24"/>
              </w:rPr>
              <w:t>;</w:t>
            </w:r>
          </w:p>
          <w:p w14:paraId="1233474B" w14:textId="270161D8" w:rsidR="00A50EB9" w:rsidRPr="00511578" w:rsidRDefault="00945629" w:rsidP="00C7319E">
            <w:pPr>
              <w:spacing w:before="120" w:after="120"/>
              <w:jc w:val="both"/>
              <w:rPr>
                <w:sz w:val="24"/>
                <w:szCs w:val="24"/>
              </w:rPr>
            </w:pPr>
            <w:r>
              <w:rPr>
                <w:sz w:val="24"/>
                <w:szCs w:val="24"/>
              </w:rPr>
              <w:t xml:space="preserve">10.  </w:t>
            </w:r>
            <w:r w:rsidR="00511578">
              <w:rPr>
                <w:sz w:val="24"/>
                <w:szCs w:val="24"/>
              </w:rPr>
              <w:t xml:space="preserve">Приложение № </w:t>
            </w:r>
            <w:r>
              <w:rPr>
                <w:sz w:val="24"/>
                <w:szCs w:val="24"/>
              </w:rPr>
              <w:t>9</w:t>
            </w:r>
            <w:r w:rsidR="00274D04">
              <w:rPr>
                <w:sz w:val="24"/>
                <w:szCs w:val="24"/>
              </w:rPr>
              <w:t xml:space="preserve">.2. Анализ разходи </w:t>
            </w:r>
            <w:r w:rsidR="00A50EB9" w:rsidRPr="00A50EB9">
              <w:rPr>
                <w:sz w:val="24"/>
                <w:szCs w:val="24"/>
              </w:rPr>
              <w:t>ползи</w:t>
            </w:r>
            <w:r w:rsidR="00A50EB9">
              <w:rPr>
                <w:sz w:val="24"/>
                <w:szCs w:val="24"/>
                <w:lang w:val="en-US"/>
              </w:rPr>
              <w:t xml:space="preserve"> </w:t>
            </w:r>
            <w:r w:rsidR="00107F3D">
              <w:rPr>
                <w:sz w:val="24"/>
                <w:szCs w:val="24"/>
                <w:lang w:val="en-US"/>
              </w:rPr>
              <w:t>–</w:t>
            </w:r>
            <w:r w:rsidR="00A50EB9">
              <w:rPr>
                <w:sz w:val="24"/>
                <w:szCs w:val="24"/>
                <w:lang w:val="en-US"/>
              </w:rPr>
              <w:t xml:space="preserve"> excel</w:t>
            </w:r>
            <w:r w:rsidR="00511578">
              <w:rPr>
                <w:sz w:val="24"/>
                <w:szCs w:val="24"/>
              </w:rPr>
              <w:t>;</w:t>
            </w:r>
          </w:p>
          <w:p w14:paraId="29E9D904" w14:textId="4C51C971" w:rsidR="00107F3D" w:rsidRPr="00107F3D" w:rsidRDefault="00945629" w:rsidP="00C7319E">
            <w:pPr>
              <w:spacing w:before="120" w:after="120"/>
              <w:jc w:val="both"/>
              <w:rPr>
                <w:sz w:val="24"/>
                <w:szCs w:val="24"/>
              </w:rPr>
            </w:pPr>
            <w:r>
              <w:rPr>
                <w:sz w:val="24"/>
                <w:szCs w:val="24"/>
              </w:rPr>
              <w:t>11</w:t>
            </w:r>
            <w:r w:rsidR="00107F3D">
              <w:rPr>
                <w:sz w:val="24"/>
                <w:szCs w:val="24"/>
              </w:rPr>
              <w:t xml:space="preserve">. </w:t>
            </w:r>
            <w:r>
              <w:rPr>
                <w:sz w:val="24"/>
                <w:szCs w:val="24"/>
              </w:rPr>
              <w:t>Приложение  №10</w:t>
            </w:r>
            <w:r w:rsidR="00511578">
              <w:rPr>
                <w:sz w:val="24"/>
                <w:szCs w:val="24"/>
              </w:rPr>
              <w:t xml:space="preserve"> </w:t>
            </w:r>
            <w:r w:rsidR="00107F3D" w:rsidRPr="00107F3D">
              <w:rPr>
                <w:sz w:val="24"/>
                <w:szCs w:val="24"/>
              </w:rPr>
              <w:t>Декларация изкуствено създадени условия</w:t>
            </w:r>
            <w:r w:rsidR="00511578">
              <w:rPr>
                <w:sz w:val="24"/>
                <w:szCs w:val="24"/>
              </w:rPr>
              <w:t>;</w:t>
            </w:r>
          </w:p>
          <w:p w14:paraId="04BC96F9" w14:textId="1E111B03" w:rsidR="00636AB4" w:rsidRDefault="00945629" w:rsidP="00107F3D">
            <w:pPr>
              <w:tabs>
                <w:tab w:val="left" w:pos="870"/>
              </w:tabs>
              <w:spacing w:before="120" w:after="120"/>
              <w:jc w:val="both"/>
              <w:rPr>
                <w:sz w:val="24"/>
                <w:szCs w:val="24"/>
              </w:rPr>
            </w:pPr>
            <w:r>
              <w:rPr>
                <w:sz w:val="24"/>
                <w:szCs w:val="24"/>
              </w:rPr>
              <w:t>12</w:t>
            </w:r>
            <w:r w:rsidR="00107F3D">
              <w:rPr>
                <w:sz w:val="24"/>
                <w:szCs w:val="24"/>
              </w:rPr>
              <w:t xml:space="preserve">. </w:t>
            </w:r>
            <w:r>
              <w:rPr>
                <w:sz w:val="24"/>
                <w:szCs w:val="24"/>
              </w:rPr>
              <w:t>Приложение № 11</w:t>
            </w:r>
            <w:r w:rsidR="00511578">
              <w:rPr>
                <w:sz w:val="24"/>
                <w:szCs w:val="24"/>
              </w:rPr>
              <w:t xml:space="preserve"> </w:t>
            </w:r>
            <w:r w:rsidR="00107F3D" w:rsidRPr="00107F3D">
              <w:rPr>
                <w:sz w:val="24"/>
                <w:szCs w:val="24"/>
              </w:rPr>
              <w:t>Декларация двойно финансиране</w:t>
            </w:r>
            <w:r w:rsidR="00511578">
              <w:rPr>
                <w:sz w:val="24"/>
                <w:szCs w:val="24"/>
              </w:rPr>
              <w:t>;</w:t>
            </w:r>
          </w:p>
          <w:p w14:paraId="72A2D4CD" w14:textId="000D2D93" w:rsidR="00056238" w:rsidRDefault="00B02035" w:rsidP="00107F3D">
            <w:pPr>
              <w:tabs>
                <w:tab w:val="left" w:pos="870"/>
              </w:tabs>
              <w:spacing w:before="120" w:after="120"/>
              <w:jc w:val="both"/>
              <w:rPr>
                <w:sz w:val="24"/>
                <w:szCs w:val="24"/>
              </w:rPr>
            </w:pPr>
            <w:r>
              <w:rPr>
                <w:sz w:val="24"/>
                <w:szCs w:val="24"/>
              </w:rPr>
              <w:t>13</w:t>
            </w:r>
            <w:r w:rsidR="00056238">
              <w:rPr>
                <w:sz w:val="24"/>
                <w:szCs w:val="24"/>
              </w:rPr>
              <w:t xml:space="preserve">. </w:t>
            </w:r>
            <w:r>
              <w:rPr>
                <w:sz w:val="24"/>
                <w:szCs w:val="24"/>
              </w:rPr>
              <w:t>Приложение № 12</w:t>
            </w:r>
            <w:r w:rsidR="00511578">
              <w:rPr>
                <w:sz w:val="24"/>
                <w:szCs w:val="24"/>
              </w:rPr>
              <w:t xml:space="preserve"> </w:t>
            </w:r>
            <w:r w:rsidR="00056238" w:rsidRPr="00056238">
              <w:rPr>
                <w:sz w:val="24"/>
                <w:szCs w:val="24"/>
              </w:rPr>
              <w:t>Декларация за минимални помощи</w:t>
            </w:r>
            <w:r w:rsidR="00056238">
              <w:rPr>
                <w:sz w:val="24"/>
                <w:szCs w:val="24"/>
              </w:rPr>
              <w:t>;</w:t>
            </w:r>
          </w:p>
          <w:p w14:paraId="13B0CEB2" w14:textId="77CDFB54" w:rsidR="00107F3D" w:rsidRDefault="00B02035" w:rsidP="008A729E">
            <w:pPr>
              <w:tabs>
                <w:tab w:val="left" w:pos="870"/>
              </w:tabs>
              <w:spacing w:before="120" w:after="120"/>
              <w:jc w:val="both"/>
              <w:rPr>
                <w:sz w:val="24"/>
                <w:szCs w:val="24"/>
              </w:rPr>
            </w:pPr>
            <w:r>
              <w:rPr>
                <w:sz w:val="24"/>
                <w:szCs w:val="24"/>
              </w:rPr>
              <w:t>14</w:t>
            </w:r>
            <w:r w:rsidR="00056238">
              <w:rPr>
                <w:sz w:val="24"/>
                <w:szCs w:val="24"/>
              </w:rPr>
              <w:t xml:space="preserve">. </w:t>
            </w:r>
            <w:r w:rsidR="00511578">
              <w:rPr>
                <w:sz w:val="24"/>
                <w:szCs w:val="24"/>
              </w:rPr>
              <w:t>При</w:t>
            </w:r>
            <w:r>
              <w:rPr>
                <w:sz w:val="24"/>
                <w:szCs w:val="24"/>
              </w:rPr>
              <w:t>ложение № 13</w:t>
            </w:r>
            <w:r w:rsidR="00511578">
              <w:rPr>
                <w:sz w:val="24"/>
                <w:szCs w:val="24"/>
              </w:rPr>
              <w:t xml:space="preserve"> Образец на запитване за </w:t>
            </w:r>
            <w:r w:rsidR="00056238" w:rsidRPr="00056238">
              <w:rPr>
                <w:sz w:val="24"/>
                <w:szCs w:val="24"/>
              </w:rPr>
              <w:t>оферта</w:t>
            </w:r>
            <w:r w:rsidR="002A2BF5">
              <w:rPr>
                <w:sz w:val="24"/>
                <w:szCs w:val="24"/>
              </w:rPr>
              <w:t>;</w:t>
            </w:r>
          </w:p>
          <w:p w14:paraId="547681F7" w14:textId="7AD78FDD" w:rsidR="0081007E" w:rsidRDefault="0081007E" w:rsidP="008A729E">
            <w:pPr>
              <w:tabs>
                <w:tab w:val="left" w:pos="870"/>
              </w:tabs>
              <w:spacing w:before="120" w:after="120"/>
              <w:jc w:val="both"/>
              <w:rPr>
                <w:sz w:val="24"/>
                <w:szCs w:val="24"/>
              </w:rPr>
            </w:pPr>
            <w:r>
              <w:rPr>
                <w:sz w:val="24"/>
                <w:szCs w:val="24"/>
              </w:rPr>
              <w:t xml:space="preserve">15. Приложение № 14 </w:t>
            </w:r>
            <w:r w:rsidRPr="0081007E">
              <w:rPr>
                <w:sz w:val="24"/>
                <w:szCs w:val="24"/>
              </w:rPr>
              <w:t>Декларация за свързаност съгласно Заповед №РД 09-64703.07.2019</w:t>
            </w:r>
            <w:r w:rsidR="00886EEB">
              <w:rPr>
                <w:sz w:val="24"/>
                <w:szCs w:val="24"/>
              </w:rPr>
              <w:t>;</w:t>
            </w:r>
          </w:p>
          <w:p w14:paraId="51015131" w14:textId="77777777" w:rsidR="00952B50" w:rsidRDefault="00952B50" w:rsidP="008A729E">
            <w:pPr>
              <w:tabs>
                <w:tab w:val="left" w:pos="870"/>
              </w:tabs>
              <w:spacing w:before="120" w:after="120"/>
              <w:jc w:val="both"/>
              <w:rPr>
                <w:sz w:val="24"/>
                <w:szCs w:val="24"/>
              </w:rPr>
            </w:pPr>
          </w:p>
          <w:p w14:paraId="51F87AE4" w14:textId="448F4BA7" w:rsidR="00636AB4" w:rsidRPr="00636AB4" w:rsidRDefault="00636AB4" w:rsidP="00C7319E">
            <w:pPr>
              <w:spacing w:before="120" w:after="120"/>
              <w:jc w:val="both"/>
              <w:rPr>
                <w:b/>
                <w:sz w:val="24"/>
                <w:szCs w:val="24"/>
              </w:rPr>
            </w:pPr>
            <w:r w:rsidRPr="00636AB4">
              <w:rPr>
                <w:b/>
                <w:sz w:val="24"/>
                <w:szCs w:val="24"/>
              </w:rPr>
              <w:t>ЗА ИНФОРМАЦИЯ</w:t>
            </w:r>
          </w:p>
          <w:p w14:paraId="410D1EC7" w14:textId="478A8ABC" w:rsidR="00636AB4" w:rsidRPr="00636AB4" w:rsidRDefault="0011229E" w:rsidP="00C7319E">
            <w:pPr>
              <w:spacing w:before="120" w:after="120"/>
              <w:jc w:val="both"/>
              <w:rPr>
                <w:sz w:val="24"/>
                <w:szCs w:val="24"/>
              </w:rPr>
            </w:pPr>
            <w:r>
              <w:rPr>
                <w:sz w:val="24"/>
                <w:szCs w:val="24"/>
              </w:rPr>
              <w:t>16</w:t>
            </w:r>
            <w:r w:rsidR="002A2BF5">
              <w:rPr>
                <w:sz w:val="24"/>
                <w:szCs w:val="24"/>
              </w:rPr>
              <w:t>. Приложение №</w:t>
            </w:r>
            <w:r w:rsidR="0081007E">
              <w:rPr>
                <w:sz w:val="24"/>
                <w:szCs w:val="24"/>
              </w:rPr>
              <w:t>15</w:t>
            </w:r>
            <w:r w:rsidR="002A2BF5">
              <w:rPr>
                <w:sz w:val="24"/>
                <w:szCs w:val="24"/>
              </w:rPr>
              <w:t xml:space="preserve"> Контролен лист </w:t>
            </w:r>
            <w:r w:rsidR="00636AB4" w:rsidRPr="00636AB4">
              <w:rPr>
                <w:sz w:val="24"/>
                <w:szCs w:val="24"/>
              </w:rPr>
              <w:t>АСД</w:t>
            </w:r>
            <w:r w:rsidR="002A2BF5">
              <w:rPr>
                <w:sz w:val="24"/>
                <w:szCs w:val="24"/>
              </w:rPr>
              <w:t>;</w:t>
            </w:r>
          </w:p>
          <w:p w14:paraId="37E83C70" w14:textId="7B996075" w:rsidR="00636AB4" w:rsidRPr="00636AB4" w:rsidRDefault="0011229E" w:rsidP="00C7319E">
            <w:pPr>
              <w:spacing w:before="120" w:after="120"/>
              <w:jc w:val="both"/>
              <w:rPr>
                <w:sz w:val="24"/>
                <w:szCs w:val="24"/>
              </w:rPr>
            </w:pPr>
            <w:r>
              <w:rPr>
                <w:sz w:val="24"/>
                <w:szCs w:val="24"/>
              </w:rPr>
              <w:lastRenderedPageBreak/>
              <w:t>17</w:t>
            </w:r>
            <w:r w:rsidR="002A2BF5">
              <w:rPr>
                <w:sz w:val="24"/>
                <w:szCs w:val="24"/>
              </w:rPr>
              <w:t xml:space="preserve">. Приложение № </w:t>
            </w:r>
            <w:r w:rsidR="0081007E">
              <w:rPr>
                <w:sz w:val="24"/>
                <w:szCs w:val="24"/>
              </w:rPr>
              <w:t>16</w:t>
            </w:r>
            <w:r w:rsidR="002A2BF5">
              <w:rPr>
                <w:sz w:val="24"/>
                <w:szCs w:val="24"/>
              </w:rPr>
              <w:t xml:space="preserve">_Контролен лист </w:t>
            </w:r>
            <w:r w:rsidR="00636AB4" w:rsidRPr="00636AB4">
              <w:rPr>
                <w:sz w:val="24"/>
                <w:szCs w:val="24"/>
              </w:rPr>
              <w:t>ТФО</w:t>
            </w:r>
            <w:r w:rsidR="002A2BF5">
              <w:rPr>
                <w:sz w:val="24"/>
                <w:szCs w:val="24"/>
              </w:rPr>
              <w:t>;</w:t>
            </w:r>
          </w:p>
          <w:p w14:paraId="5412DD6C" w14:textId="656551F2" w:rsidR="00636AB4" w:rsidRPr="00636AB4" w:rsidRDefault="0011229E" w:rsidP="00C7319E">
            <w:pPr>
              <w:spacing w:before="120" w:after="120"/>
              <w:jc w:val="both"/>
              <w:rPr>
                <w:sz w:val="24"/>
                <w:szCs w:val="24"/>
              </w:rPr>
            </w:pPr>
            <w:r>
              <w:rPr>
                <w:sz w:val="24"/>
                <w:szCs w:val="24"/>
              </w:rPr>
              <w:t>18</w:t>
            </w:r>
            <w:r w:rsidR="00F43B48">
              <w:rPr>
                <w:sz w:val="24"/>
                <w:szCs w:val="24"/>
              </w:rPr>
              <w:t>. Прил</w:t>
            </w:r>
            <w:r w:rsidR="002A2BF5">
              <w:rPr>
                <w:sz w:val="24"/>
                <w:szCs w:val="24"/>
              </w:rPr>
              <w:t>ожение №</w:t>
            </w:r>
            <w:r w:rsidR="0007572B">
              <w:rPr>
                <w:sz w:val="24"/>
                <w:szCs w:val="24"/>
              </w:rPr>
              <w:t>1</w:t>
            </w:r>
            <w:r w:rsidR="0081007E">
              <w:rPr>
                <w:sz w:val="24"/>
                <w:szCs w:val="24"/>
              </w:rPr>
              <w:t>7</w:t>
            </w:r>
            <w:r w:rsidR="0007572B">
              <w:rPr>
                <w:sz w:val="24"/>
                <w:szCs w:val="24"/>
              </w:rPr>
              <w:t xml:space="preserve"> </w:t>
            </w:r>
            <w:r w:rsidR="001040FA" w:rsidRPr="001040FA">
              <w:rPr>
                <w:sz w:val="24"/>
                <w:szCs w:val="24"/>
              </w:rPr>
              <w:t>Списък разходи с референтни цени;</w:t>
            </w:r>
          </w:p>
          <w:p w14:paraId="3EC992AC" w14:textId="1EBCFEE2" w:rsidR="00ED07AC" w:rsidRPr="00C32706" w:rsidRDefault="0011229E" w:rsidP="00CB220C">
            <w:pPr>
              <w:spacing w:before="120" w:after="120"/>
              <w:jc w:val="both"/>
              <w:rPr>
                <w:sz w:val="24"/>
                <w:szCs w:val="24"/>
              </w:rPr>
            </w:pPr>
            <w:r>
              <w:rPr>
                <w:sz w:val="24"/>
                <w:szCs w:val="24"/>
              </w:rPr>
              <w:t>19</w:t>
            </w:r>
            <w:r w:rsidR="00107F3D">
              <w:rPr>
                <w:sz w:val="24"/>
                <w:szCs w:val="24"/>
              </w:rPr>
              <w:t xml:space="preserve">. </w:t>
            </w:r>
            <w:r w:rsidR="002A2BF5">
              <w:rPr>
                <w:sz w:val="24"/>
                <w:szCs w:val="24"/>
              </w:rPr>
              <w:t>Приложение №</w:t>
            </w:r>
            <w:r w:rsidR="0081007E">
              <w:rPr>
                <w:sz w:val="24"/>
                <w:szCs w:val="24"/>
              </w:rPr>
              <w:t>18</w:t>
            </w:r>
            <w:r w:rsidR="0007572B">
              <w:rPr>
                <w:sz w:val="24"/>
                <w:szCs w:val="24"/>
              </w:rPr>
              <w:t xml:space="preserve"> </w:t>
            </w:r>
            <w:r w:rsidR="001040FA" w:rsidRPr="001040FA">
              <w:rPr>
                <w:sz w:val="24"/>
                <w:szCs w:val="24"/>
              </w:rPr>
              <w:t>Указания за попълване на декларация за минимални помощи.</w:t>
            </w:r>
          </w:p>
        </w:tc>
      </w:tr>
    </w:tbl>
    <w:p w14:paraId="613F4BAB" w14:textId="77777777" w:rsidR="00EC51FD" w:rsidRPr="00EC51FD" w:rsidRDefault="00EC51FD" w:rsidP="00EC51FD">
      <w:pPr>
        <w:pStyle w:val="ListParagraph"/>
        <w:spacing w:before="120" w:after="120" w:line="240" w:lineRule="auto"/>
        <w:ind w:left="0"/>
        <w:contextualSpacing w:val="0"/>
        <w:jc w:val="both"/>
        <w:rPr>
          <w:rFonts w:ascii="Times New Roman" w:hAnsi="Times New Roman" w:cs="Times New Roman"/>
          <w:sz w:val="24"/>
          <w:szCs w:val="24"/>
        </w:rPr>
      </w:pPr>
    </w:p>
    <w:sectPr w:rsidR="00EC51FD" w:rsidRPr="00EC51FD" w:rsidSect="00AF5CC7">
      <w:headerReference w:type="default" r:id="rId30"/>
      <w:footerReference w:type="default" r:id="rId31"/>
      <w:pgSz w:w="11906" w:h="16838"/>
      <w:pgMar w:top="2208" w:right="1133" w:bottom="851" w:left="1417"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46435F" w14:textId="77777777" w:rsidR="00386BB0" w:rsidRDefault="00386BB0" w:rsidP="002325A3">
      <w:pPr>
        <w:spacing w:after="0" w:line="240" w:lineRule="auto"/>
      </w:pPr>
      <w:r>
        <w:separator/>
      </w:r>
    </w:p>
  </w:endnote>
  <w:endnote w:type="continuationSeparator" w:id="0">
    <w:p w14:paraId="5F9D9576" w14:textId="77777777" w:rsidR="00386BB0" w:rsidRDefault="00386BB0" w:rsidP="00232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G Mincho Light J">
    <w:altName w:val="Times New Roman"/>
    <w:charset w:val="00"/>
    <w:family w:val="auto"/>
    <w:pitch w:val="variable"/>
  </w:font>
  <w:font w:name="EUAlbertina">
    <w:altName w:val="EU Albertina"/>
    <w:panose1 w:val="00000000000000000000"/>
    <w:charset w:val="CC"/>
    <w:family w:val="roman"/>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2FB42C" w14:textId="77777777" w:rsidR="00ED62B9" w:rsidRDefault="00ED62B9" w:rsidP="009C0B06">
    <w:pPr>
      <w:pStyle w:val="Footer"/>
      <w:pBdr>
        <w:bottom w:val="single" w:sz="12" w:space="1" w:color="auto"/>
      </w:pBdr>
      <w:tabs>
        <w:tab w:val="clear" w:pos="9072"/>
        <w:tab w:val="right" w:pos="9356"/>
      </w:tabs>
      <w:jc w:val="right"/>
    </w:pPr>
  </w:p>
  <w:p w14:paraId="681FE58E" w14:textId="77777777" w:rsidR="00ED62B9" w:rsidRDefault="00ED62B9" w:rsidP="0053299B">
    <w:pPr>
      <w:pStyle w:val="Footer"/>
      <w:ind w:right="284"/>
      <w:jc w:val="right"/>
      <w:rPr>
        <w:noProof/>
      </w:rPr>
    </w:pPr>
    <w:r>
      <w:fldChar w:fldCharType="begin"/>
    </w:r>
    <w:r>
      <w:instrText xml:space="preserve"> PAGE   \* MERGEFORMAT </w:instrText>
    </w:r>
    <w:r>
      <w:fldChar w:fldCharType="separate"/>
    </w:r>
    <w:r w:rsidR="00A43A9A">
      <w:rPr>
        <w:noProof/>
      </w:rPr>
      <w:t>48</w:t>
    </w:r>
    <w:r>
      <w:rPr>
        <w:noProof/>
      </w:rPr>
      <w:fldChar w:fldCharType="end"/>
    </w:r>
  </w:p>
  <w:p w14:paraId="2AB6762B" w14:textId="745C60F3" w:rsidR="00ED62B9" w:rsidRPr="00BD49D7" w:rsidRDefault="00ED62B9" w:rsidP="00BD49D7">
    <w:pPr>
      <w:pStyle w:val="Footer"/>
      <w:ind w:right="284"/>
      <w:jc w:val="center"/>
    </w:pPr>
    <w:r>
      <w:rPr>
        <w:rFonts w:ascii="Times New Roman" w:hAnsi="Times New Roman"/>
        <w:sz w:val="20"/>
      </w:rPr>
      <w:t xml:space="preserve">Условия за кандидатстване </w:t>
    </w:r>
    <w:r w:rsidRPr="00483618">
      <w:rPr>
        <w:rFonts w:ascii="Times New Roman" w:hAnsi="Times New Roman"/>
        <w:sz w:val="20"/>
      </w:rPr>
      <w:t>BG0</w:t>
    </w:r>
    <w:r>
      <w:rPr>
        <w:rFonts w:ascii="Times New Roman" w:hAnsi="Times New Roman"/>
        <w:sz w:val="20"/>
        <w:lang w:val="en-US"/>
      </w:rPr>
      <w:t>6RDNP001-19.002</w:t>
    </w:r>
    <w:r w:rsidRPr="008916EB">
      <w:rPr>
        <w:b/>
        <w:sz w:val="28"/>
        <w:szCs w:val="28"/>
      </w:rPr>
      <w:t xml:space="preserve"> </w:t>
    </w:r>
    <w:r w:rsidRPr="008916EB">
      <w:rPr>
        <w:rFonts w:ascii="Times New Roman" w:hAnsi="Times New Roman"/>
        <w:sz w:val="20"/>
      </w:rPr>
      <w:t>МИГ_Поморие_10_1_</w:t>
    </w:r>
    <w:r>
      <w:rPr>
        <w:rFonts w:ascii="Times New Roman" w:hAnsi="Times New Roman"/>
        <w:sz w:val="20"/>
        <w:lang w:val="en-US"/>
      </w:rPr>
      <w:t xml:space="preserve">7.2. </w:t>
    </w:r>
    <w:r w:rsidRPr="008916EB">
      <w:rPr>
        <w:rFonts w:ascii="Times New Roman" w:hAnsi="Times New Roman"/>
        <w:sz w:val="20"/>
      </w:rPr>
      <w:t>М4_</w:t>
    </w:r>
    <w:r>
      <w:rPr>
        <w:rFonts w:ascii="Times New Roman" w:hAnsi="Times New Roman"/>
        <w:sz w:val="20"/>
      </w:rPr>
      <w:t>“Инвестиции в създаването, подобряването или разширяването на всички видове малка по мащаби инфраструктура“</w:t>
    </w:r>
  </w:p>
  <w:p w14:paraId="34E01395" w14:textId="77777777" w:rsidR="00ED62B9" w:rsidRDefault="00ED62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BACE09" w14:textId="77777777" w:rsidR="00386BB0" w:rsidRDefault="00386BB0" w:rsidP="002325A3">
      <w:pPr>
        <w:spacing w:after="0" w:line="240" w:lineRule="auto"/>
      </w:pPr>
      <w:r>
        <w:separator/>
      </w:r>
    </w:p>
  </w:footnote>
  <w:footnote w:type="continuationSeparator" w:id="0">
    <w:p w14:paraId="1BC5C146" w14:textId="77777777" w:rsidR="00386BB0" w:rsidRDefault="00386BB0" w:rsidP="002325A3">
      <w:pPr>
        <w:spacing w:after="0" w:line="240" w:lineRule="auto"/>
      </w:pPr>
      <w:r>
        <w:continuationSeparator/>
      </w:r>
    </w:p>
  </w:footnote>
  <w:footnote w:id="1">
    <w:p w14:paraId="3B3B13A0" w14:textId="77777777" w:rsidR="00ED62B9" w:rsidRPr="00D467D3" w:rsidRDefault="00ED62B9">
      <w:pPr>
        <w:pStyle w:val="FootnoteText"/>
        <w:rPr>
          <w:rFonts w:ascii="Times New Roman" w:hAnsi="Times New Roman" w:cs="Times New Roman"/>
        </w:rPr>
      </w:pPr>
      <w:r w:rsidRPr="00D467D3">
        <w:rPr>
          <w:rStyle w:val="FootnoteReference"/>
          <w:rFonts w:ascii="Times New Roman" w:hAnsi="Times New Roman" w:cs="Times New Roman"/>
        </w:rPr>
        <w:footnoteRef/>
      </w:r>
      <w:r w:rsidRPr="00D467D3">
        <w:rPr>
          <w:rFonts w:ascii="Times New Roman" w:hAnsi="Times New Roman" w:cs="Times New Roman"/>
        </w:rPr>
        <w:t xml:space="preserve"> Съгласно Регламент за изпълнение (ЕС) № 215/2014 на комисията от 7 март 2014 година.</w:t>
      </w:r>
    </w:p>
  </w:footnote>
  <w:footnote w:id="2">
    <w:p w14:paraId="2EF4AD2F" w14:textId="77777777" w:rsidR="00ED62B9" w:rsidRPr="00277F1F" w:rsidRDefault="00ED62B9" w:rsidP="00277F1F">
      <w:pPr>
        <w:spacing w:after="100" w:afterAutospacing="1"/>
        <w:contextualSpacing/>
        <w:jc w:val="both"/>
        <w:rPr>
          <w:rFonts w:ascii="Times New Roman" w:hAnsi="Times New Roman" w:cs="Times New Roman"/>
          <w:sz w:val="20"/>
          <w:szCs w:val="20"/>
        </w:rPr>
      </w:pPr>
      <w:r w:rsidRPr="00277F1F">
        <w:rPr>
          <w:rStyle w:val="FootnoteReference"/>
          <w:rFonts w:ascii="Times New Roman" w:hAnsi="Times New Roman" w:cs="Times New Roman"/>
          <w:sz w:val="20"/>
          <w:szCs w:val="20"/>
        </w:rPr>
        <w:footnoteRef/>
      </w:r>
      <w:r w:rsidRPr="00277F1F">
        <w:rPr>
          <w:rFonts w:ascii="Times New Roman" w:hAnsi="Times New Roman" w:cs="Times New Roman"/>
          <w:sz w:val="20"/>
          <w:szCs w:val="20"/>
        </w:rPr>
        <w:t xml:space="preserve"> Съгласно чл.2, пар.2 на Регламент (ЕС) №1407/2013 едно и също предприятие“ означава всички предприятия, които поддържат помежду си поне един вид от следните взаимоотношения:</w:t>
      </w:r>
    </w:p>
    <w:p w14:paraId="7BA49FB7" w14:textId="77777777" w:rsidR="00ED62B9" w:rsidRPr="00277F1F" w:rsidRDefault="00ED62B9" w:rsidP="00277F1F">
      <w:pPr>
        <w:spacing w:after="100" w:afterAutospacing="1"/>
        <w:contextualSpacing/>
        <w:jc w:val="both"/>
        <w:rPr>
          <w:rFonts w:ascii="Times New Roman" w:hAnsi="Times New Roman" w:cs="Times New Roman"/>
          <w:sz w:val="20"/>
          <w:szCs w:val="20"/>
        </w:rPr>
      </w:pPr>
      <w:r w:rsidRPr="00277F1F">
        <w:rPr>
          <w:rFonts w:ascii="Times New Roman" w:hAnsi="Times New Roman" w:cs="Times New Roman"/>
          <w:sz w:val="20"/>
          <w:szCs w:val="20"/>
        </w:rPr>
        <w:t>а) дадено предприятие притежава мнозинството от гласовете на акционерите или съдружниците в друго предприятие;</w:t>
      </w:r>
    </w:p>
    <w:p w14:paraId="75901FCC" w14:textId="77777777" w:rsidR="00ED62B9" w:rsidRPr="00277F1F" w:rsidRDefault="00ED62B9" w:rsidP="00277F1F">
      <w:pPr>
        <w:spacing w:after="100" w:afterAutospacing="1"/>
        <w:contextualSpacing/>
        <w:jc w:val="both"/>
        <w:rPr>
          <w:rFonts w:ascii="Times New Roman" w:hAnsi="Times New Roman" w:cs="Times New Roman"/>
          <w:sz w:val="20"/>
          <w:szCs w:val="20"/>
        </w:rPr>
      </w:pPr>
      <w:r w:rsidRPr="00277F1F">
        <w:rPr>
          <w:rFonts w:ascii="Times New Roman" w:hAnsi="Times New Roman" w:cs="Times New Roman"/>
          <w:sz w:val="20"/>
          <w:szCs w:val="20"/>
        </w:rPr>
        <w:t>б) дадено предприятие има право да назначава или отстранява мнозинството от членовете на административния, управителния или надзорния орган на друго предприятие;</w:t>
      </w:r>
    </w:p>
    <w:p w14:paraId="3520B9BD" w14:textId="77777777" w:rsidR="00ED62B9" w:rsidRPr="00277F1F" w:rsidRDefault="00ED62B9" w:rsidP="00277F1F">
      <w:pPr>
        <w:spacing w:after="100" w:afterAutospacing="1"/>
        <w:contextualSpacing/>
        <w:jc w:val="both"/>
        <w:rPr>
          <w:rFonts w:ascii="Times New Roman" w:hAnsi="Times New Roman" w:cs="Times New Roman"/>
          <w:sz w:val="20"/>
          <w:szCs w:val="20"/>
        </w:rPr>
      </w:pPr>
      <w:r w:rsidRPr="00277F1F">
        <w:rPr>
          <w:rFonts w:ascii="Times New Roman" w:hAnsi="Times New Roman" w:cs="Times New Roman"/>
          <w:sz w:val="20"/>
          <w:szCs w:val="20"/>
        </w:rPr>
        <w:t>в) дадено предприятие има право да упражнява доминиращо влияние спрямо друго предприятие по силата на договор, сключен с това предприятие, или на разпоредба в неговия устав или учредителен акт;</w:t>
      </w:r>
    </w:p>
    <w:p w14:paraId="43825F67" w14:textId="77777777" w:rsidR="00ED62B9" w:rsidRPr="00277F1F" w:rsidRDefault="00ED62B9" w:rsidP="00277F1F">
      <w:pPr>
        <w:spacing w:after="100" w:afterAutospacing="1"/>
        <w:contextualSpacing/>
        <w:jc w:val="both"/>
        <w:rPr>
          <w:rFonts w:ascii="Times New Roman" w:hAnsi="Times New Roman" w:cs="Times New Roman"/>
          <w:sz w:val="20"/>
          <w:szCs w:val="20"/>
        </w:rPr>
      </w:pPr>
      <w:r w:rsidRPr="00277F1F">
        <w:rPr>
          <w:rFonts w:ascii="Times New Roman" w:hAnsi="Times New Roman" w:cs="Times New Roman"/>
          <w:sz w:val="20"/>
          <w:szCs w:val="20"/>
        </w:rPr>
        <w:t>г) дадено предприятие, което е акционер или съдружник в друго предприятие, контролира самостоятелно, по силата на споразумение с останалите акционери или съдружници в това предприятие, мнозинството от гласовете на акционерите или съдружниците в това предприятие.</w:t>
      </w:r>
    </w:p>
    <w:p w14:paraId="7B92C0CA" w14:textId="77777777" w:rsidR="00ED62B9" w:rsidRPr="002376B3" w:rsidRDefault="00ED62B9" w:rsidP="00277F1F">
      <w:pPr>
        <w:spacing w:after="100" w:afterAutospacing="1"/>
        <w:contextualSpacing/>
        <w:jc w:val="both"/>
        <w:rPr>
          <w:rFonts w:ascii="Times New Roman" w:hAnsi="Times New Roman" w:cs="Times New Roman"/>
        </w:rPr>
      </w:pPr>
      <w:r w:rsidRPr="00277F1F">
        <w:rPr>
          <w:rFonts w:ascii="Times New Roman" w:hAnsi="Times New Roman" w:cs="Times New Roman"/>
          <w:sz w:val="20"/>
          <w:szCs w:val="20"/>
        </w:rPr>
        <w:t>Предприятия, поддържащи едно от взаимоотношенията, посочени в букви а) — г), посредством едно или няколко други предприятия, също се разглеждат като едно и също предприятие.</w:t>
      </w:r>
    </w:p>
  </w:footnote>
  <w:footnote w:id="3">
    <w:p w14:paraId="3E745C1E" w14:textId="77777777" w:rsidR="00ED62B9" w:rsidRPr="00697F20" w:rsidRDefault="00ED62B9" w:rsidP="00697F20">
      <w:pPr>
        <w:pStyle w:val="FootnoteText"/>
        <w:jc w:val="both"/>
        <w:rPr>
          <w:rFonts w:ascii="Times New Roman" w:hAnsi="Times New Roman" w:cs="Times New Roman"/>
        </w:rPr>
      </w:pPr>
      <w:r w:rsidRPr="00697F20">
        <w:rPr>
          <w:rStyle w:val="FootnoteReference"/>
          <w:rFonts w:ascii="Times New Roman" w:hAnsi="Times New Roman" w:cs="Times New Roman"/>
        </w:rPr>
        <w:footnoteRef/>
      </w:r>
      <w:r w:rsidRPr="00697F20">
        <w:rPr>
          <w:rFonts w:ascii="Times New Roman" w:hAnsi="Times New Roman" w:cs="Times New Roman"/>
        </w:rPr>
        <w:t xml:space="preserve"> Минималните изисквания към реда за оценка на проектни предложения към СВОМР са налични на електронен адрес </w:t>
      </w:r>
      <w:hyperlink r:id="rId1" w:history="1">
        <w:r w:rsidRPr="00697F20">
          <w:rPr>
            <w:rStyle w:val="Hyperlink"/>
            <w:rFonts w:ascii="Times New Roman" w:hAnsi="Times New Roman" w:cs="Times New Roman"/>
          </w:rPr>
          <w:t>www.eufunds.bg</w:t>
        </w:r>
      </w:hyperlink>
      <w:r w:rsidRPr="00697F20">
        <w:rPr>
          <w:rFonts w:ascii="Times New Roman" w:hAnsi="Times New Roman" w:cs="Times New Roman"/>
        </w:rPr>
        <w:t xml:space="preserve"> в секция Програмен период 2014-2020/ВОМР/Указания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93A284" w14:textId="17EF3174" w:rsidR="00ED62B9" w:rsidRDefault="00ED62B9" w:rsidP="00B726C2">
    <w:pPr>
      <w:pStyle w:val="Header"/>
      <w:tabs>
        <w:tab w:val="left" w:pos="2580"/>
        <w:tab w:val="left" w:pos="2985"/>
      </w:tabs>
      <w:spacing w:after="120" w:line="276" w:lineRule="auto"/>
      <w:rPr>
        <w:rFonts w:ascii="Times New Roman" w:hAnsi="Times New Roman" w:cs="Times New Roman"/>
        <w:b/>
        <w:color w:val="7F7F7F" w:themeColor="text1" w:themeTint="80"/>
        <w:sz w:val="32"/>
        <w:szCs w:val="32"/>
      </w:rPr>
    </w:pPr>
    <w:r>
      <w:rPr>
        <w:rFonts w:ascii="Times New Roman" w:hAnsi="Times New Roman" w:cs="Times New Roman"/>
        <w:b/>
        <w:i/>
        <w:iCs/>
        <w:noProof/>
        <w:color w:val="7F7F7F" w:themeColor="text1" w:themeTint="80"/>
        <w:sz w:val="20"/>
        <w:szCs w:val="20"/>
        <w:lang w:val="en-US"/>
      </w:rPr>
      <w:drawing>
        <wp:anchor distT="0" distB="0" distL="114300" distR="114300" simplePos="0" relativeHeight="251659264" behindDoc="0" locked="0" layoutInCell="1" allowOverlap="1" wp14:anchorId="017408E6" wp14:editId="1B2FFFED">
          <wp:simplePos x="0" y="0"/>
          <wp:positionH relativeFrom="margin">
            <wp:posOffset>1412240</wp:posOffset>
          </wp:positionH>
          <wp:positionV relativeFrom="paragraph">
            <wp:posOffset>67310</wp:posOffset>
          </wp:positionV>
          <wp:extent cx="556260" cy="556260"/>
          <wp:effectExtent l="0" t="0" r="2540" b="2540"/>
          <wp:wrapNone/>
          <wp:docPr id="20" name="Картина 1" descr="&amp;Lcy;&amp;ocy;&amp;gcy;&amp;ocy; &amp;ncy;&amp;acy; &amp;Pcy;&amp;Rcy;&amp;Scy;&amp;R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7" descr="&amp;Lcy;&amp;ocy;&amp;gcy;&amp;ocy; &amp;ncy;&amp;acy; &amp;Pcy;&amp;Rcy;&amp;Scy;&amp;Rc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260" cy="5562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noProof/>
        <w:color w:val="7F7F7F" w:themeColor="text1" w:themeTint="80"/>
        <w:sz w:val="32"/>
        <w:szCs w:val="32"/>
        <w:lang w:val="en-US"/>
      </w:rPr>
      <w:drawing>
        <wp:anchor distT="0" distB="0" distL="114300" distR="114300" simplePos="0" relativeHeight="251662336" behindDoc="0" locked="0" layoutInCell="1" allowOverlap="1" wp14:anchorId="2700828C" wp14:editId="4E6D68F8">
          <wp:simplePos x="0" y="0"/>
          <wp:positionH relativeFrom="margin">
            <wp:posOffset>2304415</wp:posOffset>
          </wp:positionH>
          <wp:positionV relativeFrom="margin">
            <wp:posOffset>-1884045</wp:posOffset>
          </wp:positionV>
          <wp:extent cx="1390650" cy="577850"/>
          <wp:effectExtent l="0" t="0" r="0" b="0"/>
          <wp:wrapSquare wrapText="bothSides"/>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G_Pomorie_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90650" cy="577850"/>
                  </a:xfrm>
                  <a:prstGeom prst="rect">
                    <a:avLst/>
                  </a:prstGeom>
                </pic:spPr>
              </pic:pic>
            </a:graphicData>
          </a:graphic>
          <wp14:sizeRelH relativeFrom="margin">
            <wp14:pctWidth>0</wp14:pctWidth>
          </wp14:sizeRelH>
          <wp14:sizeRelV relativeFrom="margin">
            <wp14:pctHeight>0</wp14:pctHeight>
          </wp14:sizeRelV>
        </wp:anchor>
      </w:drawing>
    </w:r>
    <w:r w:rsidRPr="00873634">
      <w:rPr>
        <w:rFonts w:ascii="Times New Roman" w:hAnsi="Times New Roman" w:cs="Times New Roman"/>
        <w:b/>
        <w:i/>
        <w:iCs/>
        <w:noProof/>
        <w:color w:val="7F7F7F" w:themeColor="text1" w:themeTint="80"/>
        <w:sz w:val="20"/>
        <w:szCs w:val="20"/>
        <w:lang w:val="en-US"/>
      </w:rPr>
      <w:drawing>
        <wp:anchor distT="0" distB="0" distL="114300" distR="114300" simplePos="0" relativeHeight="251660288" behindDoc="0" locked="0" layoutInCell="1" allowOverlap="1" wp14:anchorId="782A47A1" wp14:editId="7ADA2748">
          <wp:simplePos x="0" y="0"/>
          <wp:positionH relativeFrom="margin">
            <wp:posOffset>86360</wp:posOffset>
          </wp:positionH>
          <wp:positionV relativeFrom="margin">
            <wp:posOffset>-1859280</wp:posOffset>
          </wp:positionV>
          <wp:extent cx="835660" cy="555625"/>
          <wp:effectExtent l="0" t="0" r="2540" b="3175"/>
          <wp:wrapSquare wrapText="bothSides"/>
          <wp:docPr id="18" name="Картина 8" descr="C:\Users\Fujitsu\Desktop\Flag_of_Europe.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ujitsu\Desktop\Flag_of_Europe.svg.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35660" cy="5556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color w:val="7F7F7F" w:themeColor="text1" w:themeTint="80"/>
        <w:sz w:val="32"/>
        <w:szCs w:val="32"/>
      </w:rPr>
      <w:t xml:space="preserve">          </w:t>
    </w:r>
    <w:r w:rsidRPr="00AC5230">
      <w:rPr>
        <w:noProof/>
        <w:lang w:val="en-US"/>
      </w:rPr>
      <w:drawing>
        <wp:inline distT="0" distB="0" distL="0" distR="0" wp14:anchorId="4E48DB59" wp14:editId="5C13C59D">
          <wp:extent cx="1628775" cy="647700"/>
          <wp:effectExtent l="0" t="0" r="0" b="0"/>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28775" cy="647700"/>
                  </a:xfrm>
                  <a:prstGeom prst="rect">
                    <a:avLst/>
                  </a:prstGeom>
                  <a:noFill/>
                  <a:ln>
                    <a:noFill/>
                  </a:ln>
                </pic:spPr>
              </pic:pic>
            </a:graphicData>
          </a:graphic>
        </wp:inline>
      </w:drawing>
    </w:r>
  </w:p>
  <w:p w14:paraId="40CE659D" w14:textId="1AD0B8B5" w:rsidR="00ED62B9" w:rsidRDefault="00ED62B9" w:rsidP="00B726C2">
    <w:pPr>
      <w:pStyle w:val="Header"/>
      <w:tabs>
        <w:tab w:val="left" w:pos="2580"/>
        <w:tab w:val="left" w:pos="2985"/>
      </w:tabs>
      <w:spacing w:after="120" w:line="276" w:lineRule="auto"/>
      <w:rPr>
        <w:rFonts w:ascii="Times New Roman" w:hAnsi="Times New Roman" w:cs="Times New Roman"/>
        <w:b/>
        <w:color w:val="7F7F7F" w:themeColor="text1" w:themeTint="80"/>
        <w:sz w:val="32"/>
        <w:szCs w:val="32"/>
      </w:rPr>
    </w:pPr>
    <w:r>
      <w:rPr>
        <w:rFonts w:ascii="Times New Roman" w:hAnsi="Times New Roman" w:cs="Times New Roman"/>
        <w:b/>
        <w:color w:val="7F7F7F" w:themeColor="text1" w:themeTint="80"/>
        <w:sz w:val="32"/>
        <w:szCs w:val="32"/>
      </w:rPr>
      <w:t xml:space="preserve">                                               </w:t>
    </w:r>
  </w:p>
  <w:p w14:paraId="68DCF5CB" w14:textId="77777777" w:rsidR="00ED62B9" w:rsidRDefault="00ED62B9" w:rsidP="00254ABD">
    <w:pPr>
      <w:pStyle w:val="Header"/>
      <w:pBdr>
        <w:bottom w:val="double" w:sz="4" w:space="1" w:color="auto"/>
      </w:pBdr>
      <w:tabs>
        <w:tab w:val="left" w:pos="2580"/>
        <w:tab w:val="left" w:pos="2985"/>
      </w:tabs>
      <w:spacing w:line="360" w:lineRule="auto"/>
      <w:rPr>
        <w:rFonts w:ascii="Times New Roman" w:hAnsi="Times New Roman" w:cs="Times New Roman"/>
        <w:b/>
        <w:bCs/>
        <w:i/>
        <w:iCs/>
        <w:spacing w:val="6"/>
        <w:sz w:val="20"/>
        <w:szCs w:val="20"/>
      </w:rPr>
    </w:pPr>
  </w:p>
  <w:p w14:paraId="7B632E9F" w14:textId="501419BD" w:rsidR="00ED62B9" w:rsidRPr="00D54185" w:rsidRDefault="00ED62B9" w:rsidP="00B726C2">
    <w:pPr>
      <w:pStyle w:val="Header"/>
      <w:pBdr>
        <w:bottom w:val="double" w:sz="4" w:space="1" w:color="auto"/>
      </w:pBdr>
      <w:tabs>
        <w:tab w:val="left" w:pos="2580"/>
        <w:tab w:val="left" w:pos="2985"/>
      </w:tabs>
      <w:spacing w:line="360" w:lineRule="auto"/>
      <w:jc w:val="center"/>
      <w:rPr>
        <w:rFonts w:ascii="Times New Roman" w:hAnsi="Times New Roman" w:cs="Times New Roman"/>
        <w:b/>
        <w:bCs/>
        <w:i/>
        <w:iCs/>
        <w:spacing w:val="6"/>
        <w:sz w:val="20"/>
        <w:szCs w:val="20"/>
      </w:rPr>
    </w:pPr>
    <w:r w:rsidRPr="00603125">
      <w:rPr>
        <w:rFonts w:ascii="Times New Roman" w:hAnsi="Times New Roman" w:cs="Times New Roman"/>
        <w:b/>
        <w:bCs/>
        <w:i/>
        <w:iCs/>
        <w:spacing w:val="6"/>
        <w:sz w:val="20"/>
        <w:szCs w:val="20"/>
      </w:rPr>
      <w:t>Европейски</w:t>
    </w:r>
    <w:r w:rsidRPr="00D54185">
      <w:rPr>
        <w:rFonts w:ascii="Times New Roman" w:hAnsi="Times New Roman" w:cs="Times New Roman"/>
        <w:b/>
        <w:bCs/>
        <w:i/>
        <w:iCs/>
        <w:spacing w:val="6"/>
        <w:sz w:val="20"/>
        <w:szCs w:val="20"/>
      </w:rPr>
      <w:t xml:space="preserve"> земеделски фонд за развитие на </w:t>
    </w:r>
    <w:r w:rsidRPr="001E479C">
      <w:rPr>
        <w:rFonts w:ascii="Times New Roman" w:hAnsi="Times New Roman" w:cs="Times New Roman"/>
        <w:b/>
        <w:bCs/>
        <w:i/>
        <w:iCs/>
        <w:spacing w:val="6"/>
        <w:sz w:val="20"/>
        <w:szCs w:val="20"/>
      </w:rPr>
      <w:t>селските</w:t>
    </w:r>
    <w:r w:rsidRPr="00D54185">
      <w:rPr>
        <w:rFonts w:ascii="Times New Roman" w:hAnsi="Times New Roman" w:cs="Times New Roman"/>
        <w:b/>
        <w:bCs/>
        <w:i/>
        <w:iCs/>
        <w:spacing w:val="6"/>
        <w:sz w:val="20"/>
        <w:szCs w:val="20"/>
      </w:rPr>
      <w:t xml:space="preserve"> райони: </w:t>
    </w:r>
    <w:r>
      <w:rPr>
        <w:rFonts w:ascii="Times New Roman" w:hAnsi="Times New Roman" w:cs="Times New Roman"/>
        <w:b/>
        <w:bCs/>
        <w:i/>
        <w:iCs/>
        <w:spacing w:val="6"/>
        <w:sz w:val="20"/>
        <w:szCs w:val="20"/>
      </w:rPr>
      <w:t xml:space="preserve"> </w:t>
    </w:r>
    <w:r w:rsidRPr="00D54185">
      <w:rPr>
        <w:rFonts w:ascii="Times New Roman" w:hAnsi="Times New Roman" w:cs="Times New Roman"/>
        <w:b/>
        <w:bCs/>
        <w:i/>
        <w:iCs/>
        <w:spacing w:val="6"/>
        <w:sz w:val="20"/>
        <w:szCs w:val="20"/>
      </w:rPr>
      <w:t>Европа инвестира в селските райони</w:t>
    </w:r>
    <w:r>
      <w:rPr>
        <w:rFonts w:ascii="Times New Roman" w:hAnsi="Times New Roman" w:cs="Times New Roman"/>
        <w:b/>
        <w:bCs/>
        <w:i/>
        <w:iCs/>
        <w:spacing w:val="6"/>
        <w:sz w:val="20"/>
        <w:szCs w:val="20"/>
      </w:rPr>
      <w:t xml:space="preserve">                                                                                                                                    </w:t>
    </w:r>
  </w:p>
  <w:p w14:paraId="0794C70B" w14:textId="77777777" w:rsidR="00ED62B9" w:rsidRDefault="00ED62B9" w:rsidP="004E4497">
    <w:pPr>
      <w:spacing w:after="0" w:line="276" w:lineRule="auto"/>
      <w:outlineLvl w:val="0"/>
      <w:rPr>
        <w:b/>
        <w:bCs/>
        <w:i/>
        <w:iCs/>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2B0C"/>
    <w:multiLevelType w:val="hybridMultilevel"/>
    <w:tmpl w:val="000011F4"/>
    <w:lvl w:ilvl="0" w:tplc="00005DD5">
      <w:start w:val="2"/>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3C22D7"/>
    <w:multiLevelType w:val="hybridMultilevel"/>
    <w:tmpl w:val="8AA8B93E"/>
    <w:lvl w:ilvl="0" w:tplc="0402000F">
      <w:start w:val="1"/>
      <w:numFmt w:val="decimal"/>
      <w:lvlText w:val="%1."/>
      <w:lvlJc w:val="left"/>
      <w:pPr>
        <w:ind w:left="1440" w:hanging="360"/>
      </w:p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2">
    <w:nsid w:val="01EE3998"/>
    <w:multiLevelType w:val="multilevel"/>
    <w:tmpl w:val="2C484A94"/>
    <w:lvl w:ilvl="0">
      <w:start w:val="1"/>
      <w:numFmt w:val="bullet"/>
      <w:pStyle w:val="Clause"/>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394DC5"/>
    <w:multiLevelType w:val="multilevel"/>
    <w:tmpl w:val="25AA4316"/>
    <w:lvl w:ilvl="0">
      <w:start w:val="1"/>
      <w:numFmt w:val="decimal"/>
      <w:pStyle w:val="GfAheading1"/>
      <w:lvlText w:val="%1."/>
      <w:lvlJc w:val="left"/>
      <w:pPr>
        <w:tabs>
          <w:tab w:val="num" w:pos="1070"/>
        </w:tabs>
        <w:ind w:left="107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600"/>
        </w:tabs>
        <w:ind w:left="360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680"/>
        </w:tabs>
        <w:ind w:left="4680" w:hanging="1440"/>
      </w:pPr>
      <w:rPr>
        <w:rFonts w:hint="default"/>
      </w:rPr>
    </w:lvl>
    <w:lvl w:ilvl="8">
      <w:start w:val="1"/>
      <w:numFmt w:val="decimal"/>
      <w:lvlText w:val="%1.%2.%3.%4.%5.%6.%7.%8.%9."/>
      <w:lvlJc w:val="left"/>
      <w:pPr>
        <w:tabs>
          <w:tab w:val="num" w:pos="5400"/>
        </w:tabs>
        <w:ind w:left="5400" w:hanging="1800"/>
      </w:pPr>
      <w:rPr>
        <w:rFonts w:hint="default"/>
      </w:rPr>
    </w:lvl>
  </w:abstractNum>
  <w:abstractNum w:abstractNumId="4">
    <w:nsid w:val="0A173D8F"/>
    <w:multiLevelType w:val="multilevel"/>
    <w:tmpl w:val="C69C008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CAF0F13"/>
    <w:multiLevelType w:val="hybridMultilevel"/>
    <w:tmpl w:val="E23EF692"/>
    <w:lvl w:ilvl="0" w:tplc="EACAC680">
      <w:start w:val="12"/>
      <w:numFmt w:val="bullet"/>
      <w:lvlText w:val="-"/>
      <w:lvlJc w:val="left"/>
      <w:pPr>
        <w:tabs>
          <w:tab w:val="num" w:pos="360"/>
        </w:tabs>
        <w:ind w:left="360" w:hanging="360"/>
      </w:pPr>
      <w:rPr>
        <w:rFonts w:ascii="Times New Roman" w:eastAsia="Times New Roman" w:hAnsi="Times New Roman" w:cs="Times New Roman" w:hint="default"/>
      </w:rPr>
    </w:lvl>
    <w:lvl w:ilvl="1" w:tplc="04020003" w:tentative="1">
      <w:start w:val="1"/>
      <w:numFmt w:val="bullet"/>
      <w:lvlText w:val="o"/>
      <w:lvlJc w:val="left"/>
      <w:pPr>
        <w:tabs>
          <w:tab w:val="num" w:pos="1020"/>
        </w:tabs>
        <w:ind w:left="1020" w:hanging="360"/>
      </w:pPr>
      <w:rPr>
        <w:rFonts w:ascii="Courier New" w:hAnsi="Courier New" w:hint="default"/>
      </w:rPr>
    </w:lvl>
    <w:lvl w:ilvl="2" w:tplc="04020005" w:tentative="1">
      <w:start w:val="1"/>
      <w:numFmt w:val="bullet"/>
      <w:lvlText w:val=""/>
      <w:lvlJc w:val="left"/>
      <w:pPr>
        <w:tabs>
          <w:tab w:val="num" w:pos="1740"/>
        </w:tabs>
        <w:ind w:left="1740" w:hanging="360"/>
      </w:pPr>
      <w:rPr>
        <w:rFonts w:ascii="Wingdings" w:hAnsi="Wingdings" w:hint="default"/>
      </w:rPr>
    </w:lvl>
    <w:lvl w:ilvl="3" w:tplc="04020001" w:tentative="1">
      <w:start w:val="1"/>
      <w:numFmt w:val="bullet"/>
      <w:lvlText w:val=""/>
      <w:lvlJc w:val="left"/>
      <w:pPr>
        <w:tabs>
          <w:tab w:val="num" w:pos="2460"/>
        </w:tabs>
        <w:ind w:left="2460" w:hanging="360"/>
      </w:pPr>
      <w:rPr>
        <w:rFonts w:ascii="Symbol" w:hAnsi="Symbol" w:hint="default"/>
      </w:rPr>
    </w:lvl>
    <w:lvl w:ilvl="4" w:tplc="04020003" w:tentative="1">
      <w:start w:val="1"/>
      <w:numFmt w:val="bullet"/>
      <w:lvlText w:val="o"/>
      <w:lvlJc w:val="left"/>
      <w:pPr>
        <w:tabs>
          <w:tab w:val="num" w:pos="3180"/>
        </w:tabs>
        <w:ind w:left="3180" w:hanging="360"/>
      </w:pPr>
      <w:rPr>
        <w:rFonts w:ascii="Courier New" w:hAnsi="Courier New" w:hint="default"/>
      </w:rPr>
    </w:lvl>
    <w:lvl w:ilvl="5" w:tplc="04020005" w:tentative="1">
      <w:start w:val="1"/>
      <w:numFmt w:val="bullet"/>
      <w:lvlText w:val=""/>
      <w:lvlJc w:val="left"/>
      <w:pPr>
        <w:tabs>
          <w:tab w:val="num" w:pos="3900"/>
        </w:tabs>
        <w:ind w:left="3900" w:hanging="360"/>
      </w:pPr>
      <w:rPr>
        <w:rFonts w:ascii="Wingdings" w:hAnsi="Wingdings" w:hint="default"/>
      </w:rPr>
    </w:lvl>
    <w:lvl w:ilvl="6" w:tplc="04020001" w:tentative="1">
      <w:start w:val="1"/>
      <w:numFmt w:val="bullet"/>
      <w:lvlText w:val=""/>
      <w:lvlJc w:val="left"/>
      <w:pPr>
        <w:tabs>
          <w:tab w:val="num" w:pos="4620"/>
        </w:tabs>
        <w:ind w:left="4620" w:hanging="360"/>
      </w:pPr>
      <w:rPr>
        <w:rFonts w:ascii="Symbol" w:hAnsi="Symbol" w:hint="default"/>
      </w:rPr>
    </w:lvl>
    <w:lvl w:ilvl="7" w:tplc="04020003" w:tentative="1">
      <w:start w:val="1"/>
      <w:numFmt w:val="bullet"/>
      <w:lvlText w:val="o"/>
      <w:lvlJc w:val="left"/>
      <w:pPr>
        <w:tabs>
          <w:tab w:val="num" w:pos="5340"/>
        </w:tabs>
        <w:ind w:left="5340" w:hanging="360"/>
      </w:pPr>
      <w:rPr>
        <w:rFonts w:ascii="Courier New" w:hAnsi="Courier New" w:hint="default"/>
      </w:rPr>
    </w:lvl>
    <w:lvl w:ilvl="8" w:tplc="04020005" w:tentative="1">
      <w:start w:val="1"/>
      <w:numFmt w:val="bullet"/>
      <w:lvlText w:val=""/>
      <w:lvlJc w:val="left"/>
      <w:pPr>
        <w:tabs>
          <w:tab w:val="num" w:pos="6060"/>
        </w:tabs>
        <w:ind w:left="6060" w:hanging="360"/>
      </w:pPr>
      <w:rPr>
        <w:rFonts w:ascii="Wingdings" w:hAnsi="Wingdings" w:hint="default"/>
      </w:rPr>
    </w:lvl>
  </w:abstractNum>
  <w:abstractNum w:abstractNumId="6">
    <w:nsid w:val="1F4D0930"/>
    <w:multiLevelType w:val="hybridMultilevel"/>
    <w:tmpl w:val="73061BD0"/>
    <w:lvl w:ilvl="0" w:tplc="6B283420">
      <w:start w:val="1"/>
      <w:numFmt w:val="bullet"/>
      <w:lvlText w:val="-"/>
      <w:lvlJc w:val="left"/>
      <w:pPr>
        <w:tabs>
          <w:tab w:val="num" w:pos="360"/>
        </w:tabs>
        <w:ind w:left="360" w:hanging="360"/>
      </w:pPr>
      <w:rPr>
        <w:rFonts w:hint="default"/>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7">
    <w:nsid w:val="1F9C6234"/>
    <w:multiLevelType w:val="hybridMultilevel"/>
    <w:tmpl w:val="7318F062"/>
    <w:lvl w:ilvl="0" w:tplc="EACAC680">
      <w:start w:val="12"/>
      <w:numFmt w:val="bullet"/>
      <w:lvlText w:val="-"/>
      <w:lvlJc w:val="left"/>
      <w:pPr>
        <w:tabs>
          <w:tab w:val="num" w:pos="360"/>
        </w:tabs>
        <w:ind w:left="360" w:hanging="360"/>
      </w:pPr>
      <w:rPr>
        <w:rFonts w:ascii="Times New Roman" w:eastAsia="Times New Roman" w:hAnsi="Times New Roman" w:cs="Times New Roman" w:hint="default"/>
      </w:rPr>
    </w:lvl>
    <w:lvl w:ilvl="1" w:tplc="04020003" w:tentative="1">
      <w:start w:val="1"/>
      <w:numFmt w:val="bullet"/>
      <w:lvlText w:val="o"/>
      <w:lvlJc w:val="left"/>
      <w:pPr>
        <w:tabs>
          <w:tab w:val="num" w:pos="1020"/>
        </w:tabs>
        <w:ind w:left="1020" w:hanging="360"/>
      </w:pPr>
      <w:rPr>
        <w:rFonts w:ascii="Courier New" w:hAnsi="Courier New" w:hint="default"/>
      </w:rPr>
    </w:lvl>
    <w:lvl w:ilvl="2" w:tplc="04020005" w:tentative="1">
      <w:start w:val="1"/>
      <w:numFmt w:val="bullet"/>
      <w:lvlText w:val=""/>
      <w:lvlJc w:val="left"/>
      <w:pPr>
        <w:tabs>
          <w:tab w:val="num" w:pos="1740"/>
        </w:tabs>
        <w:ind w:left="1740" w:hanging="360"/>
      </w:pPr>
      <w:rPr>
        <w:rFonts w:ascii="Wingdings" w:hAnsi="Wingdings" w:hint="default"/>
      </w:rPr>
    </w:lvl>
    <w:lvl w:ilvl="3" w:tplc="04020001" w:tentative="1">
      <w:start w:val="1"/>
      <w:numFmt w:val="bullet"/>
      <w:lvlText w:val=""/>
      <w:lvlJc w:val="left"/>
      <w:pPr>
        <w:tabs>
          <w:tab w:val="num" w:pos="2460"/>
        </w:tabs>
        <w:ind w:left="2460" w:hanging="360"/>
      </w:pPr>
      <w:rPr>
        <w:rFonts w:ascii="Symbol" w:hAnsi="Symbol" w:hint="default"/>
      </w:rPr>
    </w:lvl>
    <w:lvl w:ilvl="4" w:tplc="04020003" w:tentative="1">
      <w:start w:val="1"/>
      <w:numFmt w:val="bullet"/>
      <w:lvlText w:val="o"/>
      <w:lvlJc w:val="left"/>
      <w:pPr>
        <w:tabs>
          <w:tab w:val="num" w:pos="3180"/>
        </w:tabs>
        <w:ind w:left="3180" w:hanging="360"/>
      </w:pPr>
      <w:rPr>
        <w:rFonts w:ascii="Courier New" w:hAnsi="Courier New" w:hint="default"/>
      </w:rPr>
    </w:lvl>
    <w:lvl w:ilvl="5" w:tplc="04020005" w:tentative="1">
      <w:start w:val="1"/>
      <w:numFmt w:val="bullet"/>
      <w:lvlText w:val=""/>
      <w:lvlJc w:val="left"/>
      <w:pPr>
        <w:tabs>
          <w:tab w:val="num" w:pos="3900"/>
        </w:tabs>
        <w:ind w:left="3900" w:hanging="360"/>
      </w:pPr>
      <w:rPr>
        <w:rFonts w:ascii="Wingdings" w:hAnsi="Wingdings" w:hint="default"/>
      </w:rPr>
    </w:lvl>
    <w:lvl w:ilvl="6" w:tplc="04020001" w:tentative="1">
      <w:start w:val="1"/>
      <w:numFmt w:val="bullet"/>
      <w:lvlText w:val=""/>
      <w:lvlJc w:val="left"/>
      <w:pPr>
        <w:tabs>
          <w:tab w:val="num" w:pos="4620"/>
        </w:tabs>
        <w:ind w:left="4620" w:hanging="360"/>
      </w:pPr>
      <w:rPr>
        <w:rFonts w:ascii="Symbol" w:hAnsi="Symbol" w:hint="default"/>
      </w:rPr>
    </w:lvl>
    <w:lvl w:ilvl="7" w:tplc="04020003" w:tentative="1">
      <w:start w:val="1"/>
      <w:numFmt w:val="bullet"/>
      <w:lvlText w:val="o"/>
      <w:lvlJc w:val="left"/>
      <w:pPr>
        <w:tabs>
          <w:tab w:val="num" w:pos="5340"/>
        </w:tabs>
        <w:ind w:left="5340" w:hanging="360"/>
      </w:pPr>
      <w:rPr>
        <w:rFonts w:ascii="Courier New" w:hAnsi="Courier New" w:hint="default"/>
      </w:rPr>
    </w:lvl>
    <w:lvl w:ilvl="8" w:tplc="04020005" w:tentative="1">
      <w:start w:val="1"/>
      <w:numFmt w:val="bullet"/>
      <w:lvlText w:val=""/>
      <w:lvlJc w:val="left"/>
      <w:pPr>
        <w:tabs>
          <w:tab w:val="num" w:pos="6060"/>
        </w:tabs>
        <w:ind w:left="6060" w:hanging="360"/>
      </w:pPr>
      <w:rPr>
        <w:rFonts w:ascii="Wingdings" w:hAnsi="Wingdings" w:hint="default"/>
      </w:rPr>
    </w:lvl>
  </w:abstractNum>
  <w:abstractNum w:abstractNumId="8">
    <w:nsid w:val="2323355F"/>
    <w:multiLevelType w:val="hybridMultilevel"/>
    <w:tmpl w:val="AFC48DD2"/>
    <w:lvl w:ilvl="0" w:tplc="4A702700">
      <w:start w:val="1"/>
      <w:numFmt w:val="bullet"/>
      <w:lvlText w:val="-"/>
      <w:lvlJc w:val="left"/>
      <w:pPr>
        <w:ind w:left="1353" w:hanging="360"/>
      </w:pPr>
      <w:rPr>
        <w:rFonts w:ascii="Times New Roman" w:eastAsia="Times New Roman" w:hAnsi="Times New Roman" w:cs="Times New Roman" w:hint="default"/>
      </w:rPr>
    </w:lvl>
    <w:lvl w:ilvl="1" w:tplc="04020003">
      <w:start w:val="1"/>
      <w:numFmt w:val="bullet"/>
      <w:lvlText w:val="o"/>
      <w:lvlJc w:val="left"/>
      <w:pPr>
        <w:ind w:left="2073" w:hanging="360"/>
      </w:pPr>
      <w:rPr>
        <w:rFonts w:ascii="Courier New" w:hAnsi="Courier New" w:cs="Courier New" w:hint="default"/>
      </w:rPr>
    </w:lvl>
    <w:lvl w:ilvl="2" w:tplc="04020005">
      <w:start w:val="1"/>
      <w:numFmt w:val="bullet"/>
      <w:lvlText w:val=""/>
      <w:lvlJc w:val="left"/>
      <w:pPr>
        <w:ind w:left="2793" w:hanging="360"/>
      </w:pPr>
      <w:rPr>
        <w:rFonts w:ascii="Wingdings" w:hAnsi="Wingdings" w:hint="default"/>
      </w:rPr>
    </w:lvl>
    <w:lvl w:ilvl="3" w:tplc="04020001" w:tentative="1">
      <w:start w:val="1"/>
      <w:numFmt w:val="bullet"/>
      <w:lvlText w:val=""/>
      <w:lvlJc w:val="left"/>
      <w:pPr>
        <w:ind w:left="3513" w:hanging="360"/>
      </w:pPr>
      <w:rPr>
        <w:rFonts w:ascii="Symbol" w:hAnsi="Symbol" w:hint="default"/>
      </w:rPr>
    </w:lvl>
    <w:lvl w:ilvl="4" w:tplc="04020003" w:tentative="1">
      <w:start w:val="1"/>
      <w:numFmt w:val="bullet"/>
      <w:lvlText w:val="o"/>
      <w:lvlJc w:val="left"/>
      <w:pPr>
        <w:ind w:left="4233" w:hanging="360"/>
      </w:pPr>
      <w:rPr>
        <w:rFonts w:ascii="Courier New" w:hAnsi="Courier New" w:cs="Courier New" w:hint="default"/>
      </w:rPr>
    </w:lvl>
    <w:lvl w:ilvl="5" w:tplc="04020005" w:tentative="1">
      <w:start w:val="1"/>
      <w:numFmt w:val="bullet"/>
      <w:lvlText w:val=""/>
      <w:lvlJc w:val="left"/>
      <w:pPr>
        <w:ind w:left="4953" w:hanging="360"/>
      </w:pPr>
      <w:rPr>
        <w:rFonts w:ascii="Wingdings" w:hAnsi="Wingdings" w:hint="default"/>
      </w:rPr>
    </w:lvl>
    <w:lvl w:ilvl="6" w:tplc="04020001" w:tentative="1">
      <w:start w:val="1"/>
      <w:numFmt w:val="bullet"/>
      <w:lvlText w:val=""/>
      <w:lvlJc w:val="left"/>
      <w:pPr>
        <w:ind w:left="5673" w:hanging="360"/>
      </w:pPr>
      <w:rPr>
        <w:rFonts w:ascii="Symbol" w:hAnsi="Symbol" w:hint="default"/>
      </w:rPr>
    </w:lvl>
    <w:lvl w:ilvl="7" w:tplc="04020003" w:tentative="1">
      <w:start w:val="1"/>
      <w:numFmt w:val="bullet"/>
      <w:lvlText w:val="o"/>
      <w:lvlJc w:val="left"/>
      <w:pPr>
        <w:ind w:left="6393" w:hanging="360"/>
      </w:pPr>
      <w:rPr>
        <w:rFonts w:ascii="Courier New" w:hAnsi="Courier New" w:cs="Courier New" w:hint="default"/>
      </w:rPr>
    </w:lvl>
    <w:lvl w:ilvl="8" w:tplc="04020005" w:tentative="1">
      <w:start w:val="1"/>
      <w:numFmt w:val="bullet"/>
      <w:lvlText w:val=""/>
      <w:lvlJc w:val="left"/>
      <w:pPr>
        <w:ind w:left="7113" w:hanging="360"/>
      </w:pPr>
      <w:rPr>
        <w:rFonts w:ascii="Wingdings" w:hAnsi="Wingdings" w:hint="default"/>
      </w:rPr>
    </w:lvl>
  </w:abstractNum>
  <w:abstractNum w:abstractNumId="9">
    <w:nsid w:val="2D222241"/>
    <w:multiLevelType w:val="hybridMultilevel"/>
    <w:tmpl w:val="B63CD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1A07D9"/>
    <w:multiLevelType w:val="hybridMultilevel"/>
    <w:tmpl w:val="8252F124"/>
    <w:lvl w:ilvl="0" w:tplc="ED4E8576">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3A2C6C8B"/>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FFC5F28"/>
    <w:multiLevelType w:val="hybridMultilevel"/>
    <w:tmpl w:val="0F7A37D6"/>
    <w:lvl w:ilvl="0" w:tplc="5BA8D9DA">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nsid w:val="4B6407CE"/>
    <w:multiLevelType w:val="hybridMultilevel"/>
    <w:tmpl w:val="F2C2B72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nsid w:val="50767892"/>
    <w:multiLevelType w:val="hybridMultilevel"/>
    <w:tmpl w:val="86423082"/>
    <w:lvl w:ilvl="0" w:tplc="70FCDE10">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5">
    <w:nsid w:val="54172E32"/>
    <w:multiLevelType w:val="hybridMultilevel"/>
    <w:tmpl w:val="EADECDE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54F63C3A"/>
    <w:multiLevelType w:val="hybridMultilevel"/>
    <w:tmpl w:val="83C6CD6E"/>
    <w:lvl w:ilvl="0" w:tplc="70FCDE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40678B"/>
    <w:multiLevelType w:val="hybridMultilevel"/>
    <w:tmpl w:val="242E5152"/>
    <w:lvl w:ilvl="0" w:tplc="3BBADA70">
      <w:start w:val="1"/>
      <w:numFmt w:val="decimal"/>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D6C38CE"/>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0F856D4"/>
    <w:multiLevelType w:val="hybridMultilevel"/>
    <w:tmpl w:val="81226EAC"/>
    <w:lvl w:ilvl="0" w:tplc="6B283420">
      <w:start w:val="1"/>
      <w:numFmt w:val="bullet"/>
      <w:lvlText w:val="-"/>
      <w:lvlJc w:val="left"/>
      <w:pPr>
        <w:tabs>
          <w:tab w:val="num" w:pos="360"/>
        </w:tabs>
        <w:ind w:left="360" w:hanging="360"/>
      </w:pPr>
      <w:rPr>
        <w:rFonts w:hint="default"/>
      </w:rPr>
    </w:lvl>
    <w:lvl w:ilvl="1" w:tplc="04020003" w:tentative="1">
      <w:start w:val="1"/>
      <w:numFmt w:val="bullet"/>
      <w:lvlText w:val="o"/>
      <w:lvlJc w:val="left"/>
      <w:pPr>
        <w:tabs>
          <w:tab w:val="num" w:pos="1440"/>
        </w:tabs>
        <w:ind w:left="1440" w:hanging="360"/>
      </w:pPr>
      <w:rPr>
        <w:rFonts w:ascii="Courier New" w:hAnsi="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20">
    <w:nsid w:val="6C3F7903"/>
    <w:multiLevelType w:val="multilevel"/>
    <w:tmpl w:val="C69C008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7B3C034F"/>
    <w:multiLevelType w:val="hybridMultilevel"/>
    <w:tmpl w:val="9558BA5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nsid w:val="7E141820"/>
    <w:multiLevelType w:val="hybridMultilevel"/>
    <w:tmpl w:val="486A6D72"/>
    <w:lvl w:ilvl="0" w:tplc="70FCDE10">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3"/>
  </w:num>
  <w:num w:numId="3">
    <w:abstractNumId w:val="22"/>
  </w:num>
  <w:num w:numId="4">
    <w:abstractNumId w:val="8"/>
  </w:num>
  <w:num w:numId="5">
    <w:abstractNumId w:val="14"/>
  </w:num>
  <w:num w:numId="6">
    <w:abstractNumId w:val="2"/>
  </w:num>
  <w:num w:numId="7">
    <w:abstractNumId w:val="9"/>
  </w:num>
  <w:num w:numId="8">
    <w:abstractNumId w:val="12"/>
  </w:num>
  <w:num w:numId="9">
    <w:abstractNumId w:val="0"/>
  </w:num>
  <w:num w:numId="10">
    <w:abstractNumId w:val="16"/>
  </w:num>
  <w:num w:numId="11">
    <w:abstractNumId w:val="11"/>
  </w:num>
  <w:num w:numId="12">
    <w:abstractNumId w:val="4"/>
  </w:num>
  <w:num w:numId="13">
    <w:abstractNumId w:val="6"/>
  </w:num>
  <w:num w:numId="14">
    <w:abstractNumId w:val="19"/>
  </w:num>
  <w:num w:numId="15">
    <w:abstractNumId w:val="7"/>
  </w:num>
  <w:num w:numId="16">
    <w:abstractNumId w:val="5"/>
  </w:num>
  <w:num w:numId="17">
    <w:abstractNumId w:val="20"/>
  </w:num>
  <w:num w:numId="18">
    <w:abstractNumId w:val="1"/>
  </w:num>
  <w:num w:numId="19">
    <w:abstractNumId w:val="15"/>
  </w:num>
  <w:num w:numId="20">
    <w:abstractNumId w:val="17"/>
  </w:num>
  <w:num w:numId="21">
    <w:abstractNumId w:val="13"/>
  </w:num>
  <w:num w:numId="22">
    <w:abstractNumId w:val="10"/>
  </w:num>
  <w:num w:numId="23">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2B1"/>
    <w:rsid w:val="00000394"/>
    <w:rsid w:val="000023B4"/>
    <w:rsid w:val="00002EB0"/>
    <w:rsid w:val="00003CF0"/>
    <w:rsid w:val="00004D24"/>
    <w:rsid w:val="000060FA"/>
    <w:rsid w:val="0000793A"/>
    <w:rsid w:val="00007A2C"/>
    <w:rsid w:val="00007D9A"/>
    <w:rsid w:val="0001043B"/>
    <w:rsid w:val="000115A9"/>
    <w:rsid w:val="00012FE9"/>
    <w:rsid w:val="0001460B"/>
    <w:rsid w:val="000169F0"/>
    <w:rsid w:val="000231F8"/>
    <w:rsid w:val="00023EC6"/>
    <w:rsid w:val="00024F16"/>
    <w:rsid w:val="00025639"/>
    <w:rsid w:val="00025F25"/>
    <w:rsid w:val="00030119"/>
    <w:rsid w:val="000301EA"/>
    <w:rsid w:val="00030653"/>
    <w:rsid w:val="00030C9C"/>
    <w:rsid w:val="0003115B"/>
    <w:rsid w:val="00031639"/>
    <w:rsid w:val="00031949"/>
    <w:rsid w:val="00031A8C"/>
    <w:rsid w:val="00031D4A"/>
    <w:rsid w:val="00032BF1"/>
    <w:rsid w:val="000337E9"/>
    <w:rsid w:val="00033DE6"/>
    <w:rsid w:val="00034230"/>
    <w:rsid w:val="0003460D"/>
    <w:rsid w:val="00035BF0"/>
    <w:rsid w:val="00036400"/>
    <w:rsid w:val="000409A1"/>
    <w:rsid w:val="0004418A"/>
    <w:rsid w:val="00044DFD"/>
    <w:rsid w:val="000453BA"/>
    <w:rsid w:val="0004629F"/>
    <w:rsid w:val="000463FB"/>
    <w:rsid w:val="000467E3"/>
    <w:rsid w:val="00050091"/>
    <w:rsid w:val="00050127"/>
    <w:rsid w:val="00050480"/>
    <w:rsid w:val="0005088E"/>
    <w:rsid w:val="00050D51"/>
    <w:rsid w:val="00051212"/>
    <w:rsid w:val="00051741"/>
    <w:rsid w:val="0005189B"/>
    <w:rsid w:val="0005252A"/>
    <w:rsid w:val="00052675"/>
    <w:rsid w:val="0005314A"/>
    <w:rsid w:val="00053A39"/>
    <w:rsid w:val="00055371"/>
    <w:rsid w:val="000553B8"/>
    <w:rsid w:val="00056238"/>
    <w:rsid w:val="00057EEE"/>
    <w:rsid w:val="0006081F"/>
    <w:rsid w:val="0006155D"/>
    <w:rsid w:val="0006180A"/>
    <w:rsid w:val="000621E7"/>
    <w:rsid w:val="00062953"/>
    <w:rsid w:val="00064F43"/>
    <w:rsid w:val="00066376"/>
    <w:rsid w:val="00070FF8"/>
    <w:rsid w:val="0007304D"/>
    <w:rsid w:val="0007516F"/>
    <w:rsid w:val="0007572B"/>
    <w:rsid w:val="00075CCB"/>
    <w:rsid w:val="00076BB2"/>
    <w:rsid w:val="00076BEE"/>
    <w:rsid w:val="000806CA"/>
    <w:rsid w:val="0008232F"/>
    <w:rsid w:val="00083B75"/>
    <w:rsid w:val="00084DA8"/>
    <w:rsid w:val="000850FD"/>
    <w:rsid w:val="00086BE6"/>
    <w:rsid w:val="00091B9D"/>
    <w:rsid w:val="00092C32"/>
    <w:rsid w:val="00093CB8"/>
    <w:rsid w:val="00094A7C"/>
    <w:rsid w:val="00094C88"/>
    <w:rsid w:val="000968B1"/>
    <w:rsid w:val="0009715C"/>
    <w:rsid w:val="000978F4"/>
    <w:rsid w:val="000A085D"/>
    <w:rsid w:val="000A0E65"/>
    <w:rsid w:val="000A1006"/>
    <w:rsid w:val="000A1692"/>
    <w:rsid w:val="000A29C9"/>
    <w:rsid w:val="000A2AD2"/>
    <w:rsid w:val="000A3B8A"/>
    <w:rsid w:val="000A44DC"/>
    <w:rsid w:val="000A48F7"/>
    <w:rsid w:val="000A5300"/>
    <w:rsid w:val="000A6535"/>
    <w:rsid w:val="000A6C79"/>
    <w:rsid w:val="000B0A5C"/>
    <w:rsid w:val="000B0E7A"/>
    <w:rsid w:val="000B172D"/>
    <w:rsid w:val="000B2CAC"/>
    <w:rsid w:val="000B3E65"/>
    <w:rsid w:val="000B5C62"/>
    <w:rsid w:val="000B6C99"/>
    <w:rsid w:val="000B6CB1"/>
    <w:rsid w:val="000B7C4D"/>
    <w:rsid w:val="000B7F52"/>
    <w:rsid w:val="000C0C0A"/>
    <w:rsid w:val="000C1ED2"/>
    <w:rsid w:val="000C2033"/>
    <w:rsid w:val="000C2D3F"/>
    <w:rsid w:val="000C3E7C"/>
    <w:rsid w:val="000C48B0"/>
    <w:rsid w:val="000C5833"/>
    <w:rsid w:val="000C7BDC"/>
    <w:rsid w:val="000C7DC3"/>
    <w:rsid w:val="000D043C"/>
    <w:rsid w:val="000D0652"/>
    <w:rsid w:val="000D11C9"/>
    <w:rsid w:val="000D139D"/>
    <w:rsid w:val="000D1F24"/>
    <w:rsid w:val="000D3C1D"/>
    <w:rsid w:val="000D7711"/>
    <w:rsid w:val="000D7807"/>
    <w:rsid w:val="000D7FAC"/>
    <w:rsid w:val="000E0306"/>
    <w:rsid w:val="000E0370"/>
    <w:rsid w:val="000E15ED"/>
    <w:rsid w:val="000E1D9C"/>
    <w:rsid w:val="000E23D5"/>
    <w:rsid w:val="000E24D4"/>
    <w:rsid w:val="000E266C"/>
    <w:rsid w:val="000E27CF"/>
    <w:rsid w:val="000E2A16"/>
    <w:rsid w:val="000E300D"/>
    <w:rsid w:val="000E528F"/>
    <w:rsid w:val="000E64D7"/>
    <w:rsid w:val="000E733F"/>
    <w:rsid w:val="000E76B2"/>
    <w:rsid w:val="000E7ACB"/>
    <w:rsid w:val="000F3895"/>
    <w:rsid w:val="000F39B0"/>
    <w:rsid w:val="000F3B2B"/>
    <w:rsid w:val="000F4269"/>
    <w:rsid w:val="000F4530"/>
    <w:rsid w:val="000F48CF"/>
    <w:rsid w:val="000F79CE"/>
    <w:rsid w:val="0010018A"/>
    <w:rsid w:val="001008F1"/>
    <w:rsid w:val="00102617"/>
    <w:rsid w:val="001028C1"/>
    <w:rsid w:val="001028F7"/>
    <w:rsid w:val="00103C6B"/>
    <w:rsid w:val="00103CE2"/>
    <w:rsid w:val="001040FA"/>
    <w:rsid w:val="00105C86"/>
    <w:rsid w:val="00105E90"/>
    <w:rsid w:val="00106C0C"/>
    <w:rsid w:val="00107F3D"/>
    <w:rsid w:val="001101A8"/>
    <w:rsid w:val="0011020E"/>
    <w:rsid w:val="00111693"/>
    <w:rsid w:val="00111F7B"/>
    <w:rsid w:val="0011229E"/>
    <w:rsid w:val="00112E6B"/>
    <w:rsid w:val="00113853"/>
    <w:rsid w:val="00114075"/>
    <w:rsid w:val="0011499C"/>
    <w:rsid w:val="00114FDA"/>
    <w:rsid w:val="00117F3E"/>
    <w:rsid w:val="001207B0"/>
    <w:rsid w:val="00120E24"/>
    <w:rsid w:val="001214E1"/>
    <w:rsid w:val="00122A71"/>
    <w:rsid w:val="00122B6A"/>
    <w:rsid w:val="00122EE7"/>
    <w:rsid w:val="001246F0"/>
    <w:rsid w:val="00125228"/>
    <w:rsid w:val="00125D0C"/>
    <w:rsid w:val="00126219"/>
    <w:rsid w:val="00126ABF"/>
    <w:rsid w:val="00126D51"/>
    <w:rsid w:val="00126E4D"/>
    <w:rsid w:val="00126F02"/>
    <w:rsid w:val="00127971"/>
    <w:rsid w:val="00130825"/>
    <w:rsid w:val="00131C8C"/>
    <w:rsid w:val="00132B9C"/>
    <w:rsid w:val="00132E8E"/>
    <w:rsid w:val="00132F68"/>
    <w:rsid w:val="001333FF"/>
    <w:rsid w:val="00134F4D"/>
    <w:rsid w:val="001369FC"/>
    <w:rsid w:val="0013726B"/>
    <w:rsid w:val="001376AA"/>
    <w:rsid w:val="00137918"/>
    <w:rsid w:val="00137CCA"/>
    <w:rsid w:val="00140F53"/>
    <w:rsid w:val="00141B4A"/>
    <w:rsid w:val="001427F5"/>
    <w:rsid w:val="001429BC"/>
    <w:rsid w:val="00143716"/>
    <w:rsid w:val="00143CDC"/>
    <w:rsid w:val="0014603D"/>
    <w:rsid w:val="00146263"/>
    <w:rsid w:val="00146782"/>
    <w:rsid w:val="001472A9"/>
    <w:rsid w:val="0014752A"/>
    <w:rsid w:val="00151627"/>
    <w:rsid w:val="001537CA"/>
    <w:rsid w:val="00153C49"/>
    <w:rsid w:val="00155F3F"/>
    <w:rsid w:val="0015661E"/>
    <w:rsid w:val="0015716B"/>
    <w:rsid w:val="00157A71"/>
    <w:rsid w:val="0016135A"/>
    <w:rsid w:val="00161D6B"/>
    <w:rsid w:val="00161DFF"/>
    <w:rsid w:val="0016317B"/>
    <w:rsid w:val="00164623"/>
    <w:rsid w:val="00164ABC"/>
    <w:rsid w:val="00165459"/>
    <w:rsid w:val="00167E6C"/>
    <w:rsid w:val="00170A94"/>
    <w:rsid w:val="00171F31"/>
    <w:rsid w:val="001724A4"/>
    <w:rsid w:val="00172B10"/>
    <w:rsid w:val="001737C2"/>
    <w:rsid w:val="0017509D"/>
    <w:rsid w:val="00176BD7"/>
    <w:rsid w:val="00177AC9"/>
    <w:rsid w:val="001812F7"/>
    <w:rsid w:val="001832F3"/>
    <w:rsid w:val="00183A57"/>
    <w:rsid w:val="0018402D"/>
    <w:rsid w:val="0018473D"/>
    <w:rsid w:val="00187FC2"/>
    <w:rsid w:val="001908BE"/>
    <w:rsid w:val="00193417"/>
    <w:rsid w:val="00194CB8"/>
    <w:rsid w:val="00196A7A"/>
    <w:rsid w:val="001A0477"/>
    <w:rsid w:val="001A10B1"/>
    <w:rsid w:val="001A40C2"/>
    <w:rsid w:val="001A5DFD"/>
    <w:rsid w:val="001B3143"/>
    <w:rsid w:val="001B36AA"/>
    <w:rsid w:val="001B3E49"/>
    <w:rsid w:val="001B3EA6"/>
    <w:rsid w:val="001B6AB1"/>
    <w:rsid w:val="001B7383"/>
    <w:rsid w:val="001B757C"/>
    <w:rsid w:val="001C015F"/>
    <w:rsid w:val="001C073C"/>
    <w:rsid w:val="001C08F3"/>
    <w:rsid w:val="001C0BDE"/>
    <w:rsid w:val="001C0CD4"/>
    <w:rsid w:val="001C1086"/>
    <w:rsid w:val="001C1656"/>
    <w:rsid w:val="001C3491"/>
    <w:rsid w:val="001C4331"/>
    <w:rsid w:val="001C50FC"/>
    <w:rsid w:val="001C5F75"/>
    <w:rsid w:val="001C7383"/>
    <w:rsid w:val="001C75EE"/>
    <w:rsid w:val="001C7A55"/>
    <w:rsid w:val="001D09EC"/>
    <w:rsid w:val="001D0B5A"/>
    <w:rsid w:val="001D19B0"/>
    <w:rsid w:val="001D20BD"/>
    <w:rsid w:val="001D25CD"/>
    <w:rsid w:val="001D3565"/>
    <w:rsid w:val="001D687A"/>
    <w:rsid w:val="001D6EC9"/>
    <w:rsid w:val="001D79C3"/>
    <w:rsid w:val="001E0887"/>
    <w:rsid w:val="001E31CF"/>
    <w:rsid w:val="001E3FB7"/>
    <w:rsid w:val="001E48A6"/>
    <w:rsid w:val="001E5240"/>
    <w:rsid w:val="001E76D6"/>
    <w:rsid w:val="001F1338"/>
    <w:rsid w:val="001F19BE"/>
    <w:rsid w:val="001F3048"/>
    <w:rsid w:val="001F3B97"/>
    <w:rsid w:val="001F4EAF"/>
    <w:rsid w:val="001F4F5B"/>
    <w:rsid w:val="001F506C"/>
    <w:rsid w:val="001F67E8"/>
    <w:rsid w:val="001F695D"/>
    <w:rsid w:val="001F6AFD"/>
    <w:rsid w:val="001F6E67"/>
    <w:rsid w:val="001F6EAE"/>
    <w:rsid w:val="00200B88"/>
    <w:rsid w:val="0020131E"/>
    <w:rsid w:val="00202B5E"/>
    <w:rsid w:val="00204EBA"/>
    <w:rsid w:val="00205278"/>
    <w:rsid w:val="002052A9"/>
    <w:rsid w:val="0021063C"/>
    <w:rsid w:val="00211624"/>
    <w:rsid w:val="00212DA1"/>
    <w:rsid w:val="0021417F"/>
    <w:rsid w:val="002145AF"/>
    <w:rsid w:val="002147B7"/>
    <w:rsid w:val="00215ED0"/>
    <w:rsid w:val="002163CC"/>
    <w:rsid w:val="00220327"/>
    <w:rsid w:val="00220334"/>
    <w:rsid w:val="00220BE2"/>
    <w:rsid w:val="00220E89"/>
    <w:rsid w:val="00221D88"/>
    <w:rsid w:val="002224BE"/>
    <w:rsid w:val="0022341C"/>
    <w:rsid w:val="0022365A"/>
    <w:rsid w:val="00224D80"/>
    <w:rsid w:val="002268D1"/>
    <w:rsid w:val="0022714A"/>
    <w:rsid w:val="0022761F"/>
    <w:rsid w:val="00230B67"/>
    <w:rsid w:val="00230E39"/>
    <w:rsid w:val="002319E1"/>
    <w:rsid w:val="00231C6B"/>
    <w:rsid w:val="002325A3"/>
    <w:rsid w:val="00232674"/>
    <w:rsid w:val="00232B7D"/>
    <w:rsid w:val="002347A2"/>
    <w:rsid w:val="00235E9E"/>
    <w:rsid w:val="00235FF1"/>
    <w:rsid w:val="0023606E"/>
    <w:rsid w:val="00236649"/>
    <w:rsid w:val="00236C71"/>
    <w:rsid w:val="00237204"/>
    <w:rsid w:val="00237BC8"/>
    <w:rsid w:val="00237E57"/>
    <w:rsid w:val="0024057E"/>
    <w:rsid w:val="00242F63"/>
    <w:rsid w:val="0024413F"/>
    <w:rsid w:val="00244BFD"/>
    <w:rsid w:val="00244CF0"/>
    <w:rsid w:val="002455DD"/>
    <w:rsid w:val="00245AA2"/>
    <w:rsid w:val="00245C8D"/>
    <w:rsid w:val="002472B1"/>
    <w:rsid w:val="00250015"/>
    <w:rsid w:val="002500E7"/>
    <w:rsid w:val="00250470"/>
    <w:rsid w:val="0025139B"/>
    <w:rsid w:val="00251820"/>
    <w:rsid w:val="00253787"/>
    <w:rsid w:val="00253A0E"/>
    <w:rsid w:val="00253C6A"/>
    <w:rsid w:val="00254ABD"/>
    <w:rsid w:val="00254ADE"/>
    <w:rsid w:val="002579C2"/>
    <w:rsid w:val="00260566"/>
    <w:rsid w:val="00261887"/>
    <w:rsid w:val="00261ABA"/>
    <w:rsid w:val="00261BCB"/>
    <w:rsid w:val="0026201E"/>
    <w:rsid w:val="002624D0"/>
    <w:rsid w:val="00262C07"/>
    <w:rsid w:val="00263044"/>
    <w:rsid w:val="00264BBA"/>
    <w:rsid w:val="00264ECA"/>
    <w:rsid w:val="00267100"/>
    <w:rsid w:val="00267B72"/>
    <w:rsid w:val="002705DF"/>
    <w:rsid w:val="002709D4"/>
    <w:rsid w:val="00272027"/>
    <w:rsid w:val="0027248D"/>
    <w:rsid w:val="00274833"/>
    <w:rsid w:val="00274D04"/>
    <w:rsid w:val="00277F1F"/>
    <w:rsid w:val="002806B6"/>
    <w:rsid w:val="002813DB"/>
    <w:rsid w:val="002816B9"/>
    <w:rsid w:val="00281DFE"/>
    <w:rsid w:val="002878FA"/>
    <w:rsid w:val="00290559"/>
    <w:rsid w:val="00294470"/>
    <w:rsid w:val="0029462F"/>
    <w:rsid w:val="00295036"/>
    <w:rsid w:val="002953B4"/>
    <w:rsid w:val="00295C49"/>
    <w:rsid w:val="00296038"/>
    <w:rsid w:val="0029608B"/>
    <w:rsid w:val="0029705C"/>
    <w:rsid w:val="0029712A"/>
    <w:rsid w:val="00297C8B"/>
    <w:rsid w:val="002A18BB"/>
    <w:rsid w:val="002A2037"/>
    <w:rsid w:val="002A2BF5"/>
    <w:rsid w:val="002A35B4"/>
    <w:rsid w:val="002A382A"/>
    <w:rsid w:val="002A55AE"/>
    <w:rsid w:val="002A71B9"/>
    <w:rsid w:val="002B1FBF"/>
    <w:rsid w:val="002B3008"/>
    <w:rsid w:val="002B3638"/>
    <w:rsid w:val="002B3AA0"/>
    <w:rsid w:val="002B3C18"/>
    <w:rsid w:val="002B3C9E"/>
    <w:rsid w:val="002B3CA2"/>
    <w:rsid w:val="002B47B4"/>
    <w:rsid w:val="002B4BA9"/>
    <w:rsid w:val="002B4F5F"/>
    <w:rsid w:val="002B60BF"/>
    <w:rsid w:val="002B6869"/>
    <w:rsid w:val="002B7CE6"/>
    <w:rsid w:val="002C08E5"/>
    <w:rsid w:val="002C203F"/>
    <w:rsid w:val="002C22A0"/>
    <w:rsid w:val="002C2E1C"/>
    <w:rsid w:val="002C33B3"/>
    <w:rsid w:val="002C5153"/>
    <w:rsid w:val="002C5DDA"/>
    <w:rsid w:val="002C6263"/>
    <w:rsid w:val="002C62F4"/>
    <w:rsid w:val="002C6D30"/>
    <w:rsid w:val="002D0110"/>
    <w:rsid w:val="002D0F7C"/>
    <w:rsid w:val="002D3CC2"/>
    <w:rsid w:val="002D4B6A"/>
    <w:rsid w:val="002D699C"/>
    <w:rsid w:val="002E167B"/>
    <w:rsid w:val="002E2406"/>
    <w:rsid w:val="002E2814"/>
    <w:rsid w:val="002E2B58"/>
    <w:rsid w:val="002E367E"/>
    <w:rsid w:val="002E3F64"/>
    <w:rsid w:val="002E53B9"/>
    <w:rsid w:val="002E5982"/>
    <w:rsid w:val="002E611C"/>
    <w:rsid w:val="002E634F"/>
    <w:rsid w:val="002E759A"/>
    <w:rsid w:val="002F0867"/>
    <w:rsid w:val="002F0B90"/>
    <w:rsid w:val="002F2236"/>
    <w:rsid w:val="002F343F"/>
    <w:rsid w:val="002F366F"/>
    <w:rsid w:val="002F38F1"/>
    <w:rsid w:val="002F3A94"/>
    <w:rsid w:val="002F3B1E"/>
    <w:rsid w:val="002F3F48"/>
    <w:rsid w:val="002F4672"/>
    <w:rsid w:val="002F469E"/>
    <w:rsid w:val="002F65FC"/>
    <w:rsid w:val="002F6DF2"/>
    <w:rsid w:val="00300850"/>
    <w:rsid w:val="00302CD6"/>
    <w:rsid w:val="00303BC8"/>
    <w:rsid w:val="00303E98"/>
    <w:rsid w:val="003042E0"/>
    <w:rsid w:val="003046F0"/>
    <w:rsid w:val="00305F4F"/>
    <w:rsid w:val="00311677"/>
    <w:rsid w:val="003116BD"/>
    <w:rsid w:val="00312A31"/>
    <w:rsid w:val="003140CA"/>
    <w:rsid w:val="00315830"/>
    <w:rsid w:val="0031630B"/>
    <w:rsid w:val="00316CEC"/>
    <w:rsid w:val="00317963"/>
    <w:rsid w:val="00321C67"/>
    <w:rsid w:val="003220F5"/>
    <w:rsid w:val="00322459"/>
    <w:rsid w:val="00322E88"/>
    <w:rsid w:val="00323C49"/>
    <w:rsid w:val="00323E9F"/>
    <w:rsid w:val="0032490A"/>
    <w:rsid w:val="00324F0A"/>
    <w:rsid w:val="00325CC3"/>
    <w:rsid w:val="003264E0"/>
    <w:rsid w:val="00326D21"/>
    <w:rsid w:val="003272EC"/>
    <w:rsid w:val="003273B2"/>
    <w:rsid w:val="00327E37"/>
    <w:rsid w:val="00331B20"/>
    <w:rsid w:val="00331FD5"/>
    <w:rsid w:val="00333B38"/>
    <w:rsid w:val="00333B66"/>
    <w:rsid w:val="00333F4D"/>
    <w:rsid w:val="00335E13"/>
    <w:rsid w:val="00336771"/>
    <w:rsid w:val="00336A40"/>
    <w:rsid w:val="00337BD3"/>
    <w:rsid w:val="00340550"/>
    <w:rsid w:val="003405B9"/>
    <w:rsid w:val="00341037"/>
    <w:rsid w:val="00341C34"/>
    <w:rsid w:val="003429B7"/>
    <w:rsid w:val="00342B4D"/>
    <w:rsid w:val="00342CC2"/>
    <w:rsid w:val="00345DE7"/>
    <w:rsid w:val="00347CC2"/>
    <w:rsid w:val="00347F47"/>
    <w:rsid w:val="0035007C"/>
    <w:rsid w:val="003515F3"/>
    <w:rsid w:val="0035201E"/>
    <w:rsid w:val="00353F5A"/>
    <w:rsid w:val="0035525C"/>
    <w:rsid w:val="0035532D"/>
    <w:rsid w:val="00355CDE"/>
    <w:rsid w:val="00356739"/>
    <w:rsid w:val="00356774"/>
    <w:rsid w:val="00356B86"/>
    <w:rsid w:val="00357229"/>
    <w:rsid w:val="00357A86"/>
    <w:rsid w:val="00357E43"/>
    <w:rsid w:val="00363F09"/>
    <w:rsid w:val="00364537"/>
    <w:rsid w:val="003665A2"/>
    <w:rsid w:val="0037093B"/>
    <w:rsid w:val="00370BCD"/>
    <w:rsid w:val="0037133D"/>
    <w:rsid w:val="0037199F"/>
    <w:rsid w:val="00371A4E"/>
    <w:rsid w:val="00371D3E"/>
    <w:rsid w:val="003721FA"/>
    <w:rsid w:val="00372DBF"/>
    <w:rsid w:val="00374478"/>
    <w:rsid w:val="003750CE"/>
    <w:rsid w:val="00375B01"/>
    <w:rsid w:val="00375E6F"/>
    <w:rsid w:val="00376288"/>
    <w:rsid w:val="003807C9"/>
    <w:rsid w:val="00380DE3"/>
    <w:rsid w:val="00381590"/>
    <w:rsid w:val="00383159"/>
    <w:rsid w:val="00383FCC"/>
    <w:rsid w:val="00384F72"/>
    <w:rsid w:val="0038561F"/>
    <w:rsid w:val="00385E4E"/>
    <w:rsid w:val="00386BB0"/>
    <w:rsid w:val="00391B57"/>
    <w:rsid w:val="0039200E"/>
    <w:rsid w:val="00393E4C"/>
    <w:rsid w:val="00396874"/>
    <w:rsid w:val="003973F2"/>
    <w:rsid w:val="003974D6"/>
    <w:rsid w:val="00397C20"/>
    <w:rsid w:val="003A00F2"/>
    <w:rsid w:val="003A23A1"/>
    <w:rsid w:val="003A2D4B"/>
    <w:rsid w:val="003A2F8C"/>
    <w:rsid w:val="003A3B4D"/>
    <w:rsid w:val="003A3FA0"/>
    <w:rsid w:val="003A4AA9"/>
    <w:rsid w:val="003A4E3A"/>
    <w:rsid w:val="003A60BB"/>
    <w:rsid w:val="003A69A8"/>
    <w:rsid w:val="003A71D9"/>
    <w:rsid w:val="003A76CA"/>
    <w:rsid w:val="003A7E60"/>
    <w:rsid w:val="003B0E91"/>
    <w:rsid w:val="003B1E2B"/>
    <w:rsid w:val="003B2B99"/>
    <w:rsid w:val="003B6561"/>
    <w:rsid w:val="003C1B50"/>
    <w:rsid w:val="003C1DEB"/>
    <w:rsid w:val="003C1FA4"/>
    <w:rsid w:val="003C2424"/>
    <w:rsid w:val="003C25DD"/>
    <w:rsid w:val="003C2E2D"/>
    <w:rsid w:val="003C3D76"/>
    <w:rsid w:val="003C3FFC"/>
    <w:rsid w:val="003D18FC"/>
    <w:rsid w:val="003D2862"/>
    <w:rsid w:val="003D360D"/>
    <w:rsid w:val="003D4307"/>
    <w:rsid w:val="003D4610"/>
    <w:rsid w:val="003D4C55"/>
    <w:rsid w:val="003D54AF"/>
    <w:rsid w:val="003D562F"/>
    <w:rsid w:val="003D58D9"/>
    <w:rsid w:val="003D7F6B"/>
    <w:rsid w:val="003E05FD"/>
    <w:rsid w:val="003E08A5"/>
    <w:rsid w:val="003E11F7"/>
    <w:rsid w:val="003E1A50"/>
    <w:rsid w:val="003E1AA8"/>
    <w:rsid w:val="003E34D6"/>
    <w:rsid w:val="003E44C0"/>
    <w:rsid w:val="003E462F"/>
    <w:rsid w:val="003E5AB2"/>
    <w:rsid w:val="003E6A13"/>
    <w:rsid w:val="003E719F"/>
    <w:rsid w:val="003F2354"/>
    <w:rsid w:val="003F294E"/>
    <w:rsid w:val="003F5080"/>
    <w:rsid w:val="003F5861"/>
    <w:rsid w:val="003F58E8"/>
    <w:rsid w:val="003F6C91"/>
    <w:rsid w:val="00400A7B"/>
    <w:rsid w:val="00400C93"/>
    <w:rsid w:val="00401464"/>
    <w:rsid w:val="004027D6"/>
    <w:rsid w:val="00403266"/>
    <w:rsid w:val="00403716"/>
    <w:rsid w:val="0040380A"/>
    <w:rsid w:val="00403863"/>
    <w:rsid w:val="00404799"/>
    <w:rsid w:val="00405266"/>
    <w:rsid w:val="00406230"/>
    <w:rsid w:val="00410B44"/>
    <w:rsid w:val="004126E4"/>
    <w:rsid w:val="004128AD"/>
    <w:rsid w:val="00412CF4"/>
    <w:rsid w:val="00413206"/>
    <w:rsid w:val="00414368"/>
    <w:rsid w:val="004145EF"/>
    <w:rsid w:val="004149EB"/>
    <w:rsid w:val="00415338"/>
    <w:rsid w:val="00415643"/>
    <w:rsid w:val="00416699"/>
    <w:rsid w:val="004169FF"/>
    <w:rsid w:val="00417C6A"/>
    <w:rsid w:val="00420A7C"/>
    <w:rsid w:val="004212D4"/>
    <w:rsid w:val="004222E7"/>
    <w:rsid w:val="0042350F"/>
    <w:rsid w:val="00423E47"/>
    <w:rsid w:val="0042588E"/>
    <w:rsid w:val="00425BCB"/>
    <w:rsid w:val="004262C1"/>
    <w:rsid w:val="00426A0E"/>
    <w:rsid w:val="00426B6C"/>
    <w:rsid w:val="0042733A"/>
    <w:rsid w:val="0042749C"/>
    <w:rsid w:val="00431999"/>
    <w:rsid w:val="004327D4"/>
    <w:rsid w:val="004335B3"/>
    <w:rsid w:val="004336BB"/>
    <w:rsid w:val="00434BBA"/>
    <w:rsid w:val="00434C5D"/>
    <w:rsid w:val="00434E0A"/>
    <w:rsid w:val="00435AAD"/>
    <w:rsid w:val="004365A0"/>
    <w:rsid w:val="00437317"/>
    <w:rsid w:val="00442CB3"/>
    <w:rsid w:val="00442E1D"/>
    <w:rsid w:val="00443607"/>
    <w:rsid w:val="00443776"/>
    <w:rsid w:val="00443F7F"/>
    <w:rsid w:val="00444A42"/>
    <w:rsid w:val="004455D5"/>
    <w:rsid w:val="00445CEF"/>
    <w:rsid w:val="0044633E"/>
    <w:rsid w:val="00446AA8"/>
    <w:rsid w:val="00447514"/>
    <w:rsid w:val="00450A2B"/>
    <w:rsid w:val="00451BA5"/>
    <w:rsid w:val="00451E1B"/>
    <w:rsid w:val="004527D7"/>
    <w:rsid w:val="00453316"/>
    <w:rsid w:val="00453D39"/>
    <w:rsid w:val="00454AFA"/>
    <w:rsid w:val="00455690"/>
    <w:rsid w:val="00456E87"/>
    <w:rsid w:val="00456FCC"/>
    <w:rsid w:val="00461C3D"/>
    <w:rsid w:val="00462681"/>
    <w:rsid w:val="00462B4A"/>
    <w:rsid w:val="00463B9B"/>
    <w:rsid w:val="00463C1C"/>
    <w:rsid w:val="00464C85"/>
    <w:rsid w:val="00464CB7"/>
    <w:rsid w:val="004659EF"/>
    <w:rsid w:val="00466283"/>
    <w:rsid w:val="00467783"/>
    <w:rsid w:val="00467ACF"/>
    <w:rsid w:val="00470892"/>
    <w:rsid w:val="004715AA"/>
    <w:rsid w:val="004721BF"/>
    <w:rsid w:val="004728F6"/>
    <w:rsid w:val="0047444A"/>
    <w:rsid w:val="00474B8E"/>
    <w:rsid w:val="00475F9F"/>
    <w:rsid w:val="00484750"/>
    <w:rsid w:val="00487510"/>
    <w:rsid w:val="00493737"/>
    <w:rsid w:val="00495688"/>
    <w:rsid w:val="00496924"/>
    <w:rsid w:val="004969A8"/>
    <w:rsid w:val="00497639"/>
    <w:rsid w:val="00497C8F"/>
    <w:rsid w:val="004A0845"/>
    <w:rsid w:val="004A4BFF"/>
    <w:rsid w:val="004A58E5"/>
    <w:rsid w:val="004A6EF3"/>
    <w:rsid w:val="004A763F"/>
    <w:rsid w:val="004B06F5"/>
    <w:rsid w:val="004B0D6D"/>
    <w:rsid w:val="004B1C09"/>
    <w:rsid w:val="004B20FD"/>
    <w:rsid w:val="004B21A5"/>
    <w:rsid w:val="004B253B"/>
    <w:rsid w:val="004B545A"/>
    <w:rsid w:val="004B5B35"/>
    <w:rsid w:val="004B6B5E"/>
    <w:rsid w:val="004C0A37"/>
    <w:rsid w:val="004C0E6B"/>
    <w:rsid w:val="004C103A"/>
    <w:rsid w:val="004C3259"/>
    <w:rsid w:val="004C33A5"/>
    <w:rsid w:val="004C3A3A"/>
    <w:rsid w:val="004C3BBC"/>
    <w:rsid w:val="004C3EBB"/>
    <w:rsid w:val="004C457C"/>
    <w:rsid w:val="004C5D6B"/>
    <w:rsid w:val="004C5DB7"/>
    <w:rsid w:val="004C6E27"/>
    <w:rsid w:val="004C7740"/>
    <w:rsid w:val="004C7D9F"/>
    <w:rsid w:val="004D2001"/>
    <w:rsid w:val="004D2204"/>
    <w:rsid w:val="004D2228"/>
    <w:rsid w:val="004D33E5"/>
    <w:rsid w:val="004D3B76"/>
    <w:rsid w:val="004D3ED0"/>
    <w:rsid w:val="004D6AEA"/>
    <w:rsid w:val="004D6B59"/>
    <w:rsid w:val="004D79FE"/>
    <w:rsid w:val="004E0437"/>
    <w:rsid w:val="004E11B2"/>
    <w:rsid w:val="004E3013"/>
    <w:rsid w:val="004E418C"/>
    <w:rsid w:val="004E43FB"/>
    <w:rsid w:val="004E4497"/>
    <w:rsid w:val="004E5A42"/>
    <w:rsid w:val="004E6370"/>
    <w:rsid w:val="004E7522"/>
    <w:rsid w:val="004E7ECB"/>
    <w:rsid w:val="004F0AA2"/>
    <w:rsid w:val="004F0B64"/>
    <w:rsid w:val="004F1FBA"/>
    <w:rsid w:val="004F23B7"/>
    <w:rsid w:val="00503B71"/>
    <w:rsid w:val="00504B69"/>
    <w:rsid w:val="005053FA"/>
    <w:rsid w:val="0050609E"/>
    <w:rsid w:val="00506FE6"/>
    <w:rsid w:val="00511578"/>
    <w:rsid w:val="00511B32"/>
    <w:rsid w:val="0051229A"/>
    <w:rsid w:val="00512B7D"/>
    <w:rsid w:val="00513E79"/>
    <w:rsid w:val="00516CAE"/>
    <w:rsid w:val="005225F3"/>
    <w:rsid w:val="00523C4F"/>
    <w:rsid w:val="00524E31"/>
    <w:rsid w:val="00525A22"/>
    <w:rsid w:val="00525CEE"/>
    <w:rsid w:val="0052663F"/>
    <w:rsid w:val="00527B77"/>
    <w:rsid w:val="00527D89"/>
    <w:rsid w:val="00530CE0"/>
    <w:rsid w:val="005310C3"/>
    <w:rsid w:val="00531C02"/>
    <w:rsid w:val="0053299B"/>
    <w:rsid w:val="00532C45"/>
    <w:rsid w:val="005352D5"/>
    <w:rsid w:val="00535FFB"/>
    <w:rsid w:val="00536436"/>
    <w:rsid w:val="00541832"/>
    <w:rsid w:val="0054283D"/>
    <w:rsid w:val="00542A04"/>
    <w:rsid w:val="00542C38"/>
    <w:rsid w:val="00543AF6"/>
    <w:rsid w:val="005446CE"/>
    <w:rsid w:val="00551221"/>
    <w:rsid w:val="0055296D"/>
    <w:rsid w:val="00555260"/>
    <w:rsid w:val="00557ABF"/>
    <w:rsid w:val="00560935"/>
    <w:rsid w:val="005614A8"/>
    <w:rsid w:val="00561BA7"/>
    <w:rsid w:val="00561FFC"/>
    <w:rsid w:val="005624A4"/>
    <w:rsid w:val="0056532F"/>
    <w:rsid w:val="00565D36"/>
    <w:rsid w:val="00566844"/>
    <w:rsid w:val="00566E21"/>
    <w:rsid w:val="00567AE1"/>
    <w:rsid w:val="00570282"/>
    <w:rsid w:val="00570758"/>
    <w:rsid w:val="00570893"/>
    <w:rsid w:val="0057093B"/>
    <w:rsid w:val="0057181D"/>
    <w:rsid w:val="00572592"/>
    <w:rsid w:val="005726A2"/>
    <w:rsid w:val="00572CD6"/>
    <w:rsid w:val="00574184"/>
    <w:rsid w:val="00574FAC"/>
    <w:rsid w:val="00576D82"/>
    <w:rsid w:val="0057796C"/>
    <w:rsid w:val="005800E8"/>
    <w:rsid w:val="00580776"/>
    <w:rsid w:val="00581511"/>
    <w:rsid w:val="0058264C"/>
    <w:rsid w:val="00583136"/>
    <w:rsid w:val="00584D76"/>
    <w:rsid w:val="00585474"/>
    <w:rsid w:val="005857B1"/>
    <w:rsid w:val="005862F0"/>
    <w:rsid w:val="00587C68"/>
    <w:rsid w:val="0059043D"/>
    <w:rsid w:val="005928CB"/>
    <w:rsid w:val="00593E6F"/>
    <w:rsid w:val="00594611"/>
    <w:rsid w:val="00595268"/>
    <w:rsid w:val="00595BC7"/>
    <w:rsid w:val="00597C7B"/>
    <w:rsid w:val="005A00B0"/>
    <w:rsid w:val="005A1885"/>
    <w:rsid w:val="005A29E3"/>
    <w:rsid w:val="005A3D07"/>
    <w:rsid w:val="005A4439"/>
    <w:rsid w:val="005A4798"/>
    <w:rsid w:val="005A5C3A"/>
    <w:rsid w:val="005A6145"/>
    <w:rsid w:val="005A704B"/>
    <w:rsid w:val="005B00EA"/>
    <w:rsid w:val="005B0B11"/>
    <w:rsid w:val="005B0D28"/>
    <w:rsid w:val="005B1506"/>
    <w:rsid w:val="005B174C"/>
    <w:rsid w:val="005B2439"/>
    <w:rsid w:val="005B29DA"/>
    <w:rsid w:val="005B31B4"/>
    <w:rsid w:val="005B3776"/>
    <w:rsid w:val="005B3B73"/>
    <w:rsid w:val="005B3FA7"/>
    <w:rsid w:val="005B41CA"/>
    <w:rsid w:val="005B4D7B"/>
    <w:rsid w:val="005B5AEE"/>
    <w:rsid w:val="005B6F32"/>
    <w:rsid w:val="005B704B"/>
    <w:rsid w:val="005B7309"/>
    <w:rsid w:val="005C242A"/>
    <w:rsid w:val="005C3714"/>
    <w:rsid w:val="005C4B5D"/>
    <w:rsid w:val="005C509F"/>
    <w:rsid w:val="005C7E06"/>
    <w:rsid w:val="005D29D8"/>
    <w:rsid w:val="005D3ACA"/>
    <w:rsid w:val="005D3B69"/>
    <w:rsid w:val="005D41E0"/>
    <w:rsid w:val="005D44DB"/>
    <w:rsid w:val="005D4688"/>
    <w:rsid w:val="005D6067"/>
    <w:rsid w:val="005D621C"/>
    <w:rsid w:val="005D72E3"/>
    <w:rsid w:val="005D7C8D"/>
    <w:rsid w:val="005E39AE"/>
    <w:rsid w:val="005E640E"/>
    <w:rsid w:val="005E6CDB"/>
    <w:rsid w:val="005F09FF"/>
    <w:rsid w:val="005F0FA6"/>
    <w:rsid w:val="005F1AE4"/>
    <w:rsid w:val="005F2C11"/>
    <w:rsid w:val="005F33E7"/>
    <w:rsid w:val="005F7B88"/>
    <w:rsid w:val="00601034"/>
    <w:rsid w:val="006058C7"/>
    <w:rsid w:val="006071F1"/>
    <w:rsid w:val="00610158"/>
    <w:rsid w:val="00610807"/>
    <w:rsid w:val="0061082F"/>
    <w:rsid w:val="00611AE6"/>
    <w:rsid w:val="00611E6D"/>
    <w:rsid w:val="006133A0"/>
    <w:rsid w:val="00614131"/>
    <w:rsid w:val="006141A9"/>
    <w:rsid w:val="00615545"/>
    <w:rsid w:val="00615877"/>
    <w:rsid w:val="00616907"/>
    <w:rsid w:val="00616EF3"/>
    <w:rsid w:val="006206E4"/>
    <w:rsid w:val="006212AB"/>
    <w:rsid w:val="00621485"/>
    <w:rsid w:val="0062320C"/>
    <w:rsid w:val="00623594"/>
    <w:rsid w:val="0062527B"/>
    <w:rsid w:val="00630DF6"/>
    <w:rsid w:val="006315E7"/>
    <w:rsid w:val="0063166B"/>
    <w:rsid w:val="006318F6"/>
    <w:rsid w:val="00632731"/>
    <w:rsid w:val="006327C3"/>
    <w:rsid w:val="006329A5"/>
    <w:rsid w:val="006333A6"/>
    <w:rsid w:val="00634E84"/>
    <w:rsid w:val="00635331"/>
    <w:rsid w:val="00635833"/>
    <w:rsid w:val="00635B31"/>
    <w:rsid w:val="00636AB4"/>
    <w:rsid w:val="00637725"/>
    <w:rsid w:val="00637F5B"/>
    <w:rsid w:val="006409D4"/>
    <w:rsid w:val="00641F5C"/>
    <w:rsid w:val="006420E4"/>
    <w:rsid w:val="0064359E"/>
    <w:rsid w:val="006437FF"/>
    <w:rsid w:val="00643B0E"/>
    <w:rsid w:val="0064408E"/>
    <w:rsid w:val="00645264"/>
    <w:rsid w:val="006455EC"/>
    <w:rsid w:val="0064670A"/>
    <w:rsid w:val="00647D07"/>
    <w:rsid w:val="0065047E"/>
    <w:rsid w:val="00650604"/>
    <w:rsid w:val="00650D27"/>
    <w:rsid w:val="00652471"/>
    <w:rsid w:val="00652A9F"/>
    <w:rsid w:val="00653A57"/>
    <w:rsid w:val="0065465B"/>
    <w:rsid w:val="006546D1"/>
    <w:rsid w:val="006554B9"/>
    <w:rsid w:val="0065600C"/>
    <w:rsid w:val="0065630E"/>
    <w:rsid w:val="00661B8E"/>
    <w:rsid w:val="006620E4"/>
    <w:rsid w:val="00662A8D"/>
    <w:rsid w:val="00662C9A"/>
    <w:rsid w:val="006651DE"/>
    <w:rsid w:val="006668ED"/>
    <w:rsid w:val="00666D2D"/>
    <w:rsid w:val="00671121"/>
    <w:rsid w:val="006717A8"/>
    <w:rsid w:val="0067251C"/>
    <w:rsid w:val="00672B92"/>
    <w:rsid w:val="00675456"/>
    <w:rsid w:val="00675B8E"/>
    <w:rsid w:val="0067655A"/>
    <w:rsid w:val="00676E44"/>
    <w:rsid w:val="006773AD"/>
    <w:rsid w:val="006777A2"/>
    <w:rsid w:val="00677AB1"/>
    <w:rsid w:val="00681629"/>
    <w:rsid w:val="00681A36"/>
    <w:rsid w:val="006840E6"/>
    <w:rsid w:val="006854A7"/>
    <w:rsid w:val="00686923"/>
    <w:rsid w:val="00686E98"/>
    <w:rsid w:val="0069187A"/>
    <w:rsid w:val="0069424E"/>
    <w:rsid w:val="0069428F"/>
    <w:rsid w:val="00694806"/>
    <w:rsid w:val="0069519D"/>
    <w:rsid w:val="00697F20"/>
    <w:rsid w:val="006A0292"/>
    <w:rsid w:val="006A0322"/>
    <w:rsid w:val="006A05E7"/>
    <w:rsid w:val="006A25DF"/>
    <w:rsid w:val="006A2DB8"/>
    <w:rsid w:val="006A3D9A"/>
    <w:rsid w:val="006A58BD"/>
    <w:rsid w:val="006A7C03"/>
    <w:rsid w:val="006A7F23"/>
    <w:rsid w:val="006B062D"/>
    <w:rsid w:val="006B0722"/>
    <w:rsid w:val="006B0FB0"/>
    <w:rsid w:val="006B184F"/>
    <w:rsid w:val="006B19B0"/>
    <w:rsid w:val="006B45FE"/>
    <w:rsid w:val="006B4B54"/>
    <w:rsid w:val="006B6045"/>
    <w:rsid w:val="006B74FC"/>
    <w:rsid w:val="006B76B6"/>
    <w:rsid w:val="006B7988"/>
    <w:rsid w:val="006B7FE4"/>
    <w:rsid w:val="006C05F7"/>
    <w:rsid w:val="006C15B1"/>
    <w:rsid w:val="006C19FE"/>
    <w:rsid w:val="006C1AF6"/>
    <w:rsid w:val="006C50A3"/>
    <w:rsid w:val="006C6D34"/>
    <w:rsid w:val="006C6DE6"/>
    <w:rsid w:val="006D0084"/>
    <w:rsid w:val="006D09A3"/>
    <w:rsid w:val="006D174A"/>
    <w:rsid w:val="006D1A26"/>
    <w:rsid w:val="006D2413"/>
    <w:rsid w:val="006D3B1F"/>
    <w:rsid w:val="006D3E49"/>
    <w:rsid w:val="006D3E9A"/>
    <w:rsid w:val="006D44D0"/>
    <w:rsid w:val="006D4943"/>
    <w:rsid w:val="006D53C7"/>
    <w:rsid w:val="006D5956"/>
    <w:rsid w:val="006D5B53"/>
    <w:rsid w:val="006D616C"/>
    <w:rsid w:val="006D64C4"/>
    <w:rsid w:val="006D7A1A"/>
    <w:rsid w:val="006D7AAE"/>
    <w:rsid w:val="006D7E17"/>
    <w:rsid w:val="006E0895"/>
    <w:rsid w:val="006E20A0"/>
    <w:rsid w:val="006E33F4"/>
    <w:rsid w:val="006E4498"/>
    <w:rsid w:val="006E6AB8"/>
    <w:rsid w:val="006E6FB8"/>
    <w:rsid w:val="006E7D3E"/>
    <w:rsid w:val="006F0162"/>
    <w:rsid w:val="006F04FF"/>
    <w:rsid w:val="006F070B"/>
    <w:rsid w:val="006F090B"/>
    <w:rsid w:val="006F401F"/>
    <w:rsid w:val="006F4422"/>
    <w:rsid w:val="006F46DF"/>
    <w:rsid w:val="006F5825"/>
    <w:rsid w:val="006F7191"/>
    <w:rsid w:val="006F7C9D"/>
    <w:rsid w:val="00701E7D"/>
    <w:rsid w:val="00702201"/>
    <w:rsid w:val="00703301"/>
    <w:rsid w:val="0070348D"/>
    <w:rsid w:val="0070503C"/>
    <w:rsid w:val="007057A9"/>
    <w:rsid w:val="007067DB"/>
    <w:rsid w:val="007072CB"/>
    <w:rsid w:val="00710249"/>
    <w:rsid w:val="00710357"/>
    <w:rsid w:val="00713131"/>
    <w:rsid w:val="00713F72"/>
    <w:rsid w:val="00714ACC"/>
    <w:rsid w:val="00714D13"/>
    <w:rsid w:val="00715296"/>
    <w:rsid w:val="007157B8"/>
    <w:rsid w:val="0071606E"/>
    <w:rsid w:val="00716FDA"/>
    <w:rsid w:val="00722D72"/>
    <w:rsid w:val="0072372B"/>
    <w:rsid w:val="00723F8A"/>
    <w:rsid w:val="00726A7A"/>
    <w:rsid w:val="007277FB"/>
    <w:rsid w:val="007278E4"/>
    <w:rsid w:val="0073466F"/>
    <w:rsid w:val="00735133"/>
    <w:rsid w:val="007369C3"/>
    <w:rsid w:val="00736E17"/>
    <w:rsid w:val="007400B6"/>
    <w:rsid w:val="00740840"/>
    <w:rsid w:val="00741669"/>
    <w:rsid w:val="007422E0"/>
    <w:rsid w:val="007424B0"/>
    <w:rsid w:val="00742C46"/>
    <w:rsid w:val="007435F4"/>
    <w:rsid w:val="00746AD3"/>
    <w:rsid w:val="00750A71"/>
    <w:rsid w:val="00750B1A"/>
    <w:rsid w:val="00752519"/>
    <w:rsid w:val="007532C6"/>
    <w:rsid w:val="00753F91"/>
    <w:rsid w:val="007556E6"/>
    <w:rsid w:val="007568D4"/>
    <w:rsid w:val="00756A1C"/>
    <w:rsid w:val="007570DC"/>
    <w:rsid w:val="00757D86"/>
    <w:rsid w:val="00760B0B"/>
    <w:rsid w:val="0076112C"/>
    <w:rsid w:val="00761266"/>
    <w:rsid w:val="00762B04"/>
    <w:rsid w:val="00762F44"/>
    <w:rsid w:val="00764623"/>
    <w:rsid w:val="00764F04"/>
    <w:rsid w:val="007651AA"/>
    <w:rsid w:val="007651C6"/>
    <w:rsid w:val="007661BC"/>
    <w:rsid w:val="007664AE"/>
    <w:rsid w:val="00766A64"/>
    <w:rsid w:val="00766B2B"/>
    <w:rsid w:val="007672BA"/>
    <w:rsid w:val="007679EA"/>
    <w:rsid w:val="00767F99"/>
    <w:rsid w:val="007706A1"/>
    <w:rsid w:val="00770B40"/>
    <w:rsid w:val="00771365"/>
    <w:rsid w:val="007713C1"/>
    <w:rsid w:val="0077173C"/>
    <w:rsid w:val="007718CE"/>
    <w:rsid w:val="007720A6"/>
    <w:rsid w:val="00780136"/>
    <w:rsid w:val="0078072A"/>
    <w:rsid w:val="0078238C"/>
    <w:rsid w:val="00783110"/>
    <w:rsid w:val="00784529"/>
    <w:rsid w:val="00785483"/>
    <w:rsid w:val="007862F4"/>
    <w:rsid w:val="00786772"/>
    <w:rsid w:val="00786898"/>
    <w:rsid w:val="00786BEA"/>
    <w:rsid w:val="00787919"/>
    <w:rsid w:val="00787A7B"/>
    <w:rsid w:val="00793000"/>
    <w:rsid w:val="007943E2"/>
    <w:rsid w:val="00794B5F"/>
    <w:rsid w:val="007967F6"/>
    <w:rsid w:val="00797688"/>
    <w:rsid w:val="00797746"/>
    <w:rsid w:val="00797C77"/>
    <w:rsid w:val="007A0720"/>
    <w:rsid w:val="007A0799"/>
    <w:rsid w:val="007A2ECD"/>
    <w:rsid w:val="007A2EFB"/>
    <w:rsid w:val="007A31E3"/>
    <w:rsid w:val="007A3864"/>
    <w:rsid w:val="007A3BE8"/>
    <w:rsid w:val="007A418B"/>
    <w:rsid w:val="007A440D"/>
    <w:rsid w:val="007A52E8"/>
    <w:rsid w:val="007A59E3"/>
    <w:rsid w:val="007A5B9B"/>
    <w:rsid w:val="007A6131"/>
    <w:rsid w:val="007A6D0E"/>
    <w:rsid w:val="007A7362"/>
    <w:rsid w:val="007B01DA"/>
    <w:rsid w:val="007B0709"/>
    <w:rsid w:val="007B0ED5"/>
    <w:rsid w:val="007B2504"/>
    <w:rsid w:val="007B37C1"/>
    <w:rsid w:val="007B7022"/>
    <w:rsid w:val="007B71A0"/>
    <w:rsid w:val="007C02B6"/>
    <w:rsid w:val="007C0A16"/>
    <w:rsid w:val="007C1891"/>
    <w:rsid w:val="007C1F0F"/>
    <w:rsid w:val="007C205E"/>
    <w:rsid w:val="007C26D2"/>
    <w:rsid w:val="007C2DB2"/>
    <w:rsid w:val="007C32F6"/>
    <w:rsid w:val="007C3679"/>
    <w:rsid w:val="007C419F"/>
    <w:rsid w:val="007C444B"/>
    <w:rsid w:val="007C4703"/>
    <w:rsid w:val="007C4D99"/>
    <w:rsid w:val="007C525C"/>
    <w:rsid w:val="007D0880"/>
    <w:rsid w:val="007D15AC"/>
    <w:rsid w:val="007D2BD3"/>
    <w:rsid w:val="007D31E5"/>
    <w:rsid w:val="007D3237"/>
    <w:rsid w:val="007D3F46"/>
    <w:rsid w:val="007D5505"/>
    <w:rsid w:val="007D736C"/>
    <w:rsid w:val="007E0C06"/>
    <w:rsid w:val="007E1F31"/>
    <w:rsid w:val="007E47C1"/>
    <w:rsid w:val="007E5DC7"/>
    <w:rsid w:val="007E6D06"/>
    <w:rsid w:val="007E74AF"/>
    <w:rsid w:val="007E75A1"/>
    <w:rsid w:val="007E75B7"/>
    <w:rsid w:val="007E7F48"/>
    <w:rsid w:val="007F02AD"/>
    <w:rsid w:val="007F0805"/>
    <w:rsid w:val="007F1F57"/>
    <w:rsid w:val="007F4193"/>
    <w:rsid w:val="007F4984"/>
    <w:rsid w:val="007F5391"/>
    <w:rsid w:val="007F5DAC"/>
    <w:rsid w:val="007F5DBD"/>
    <w:rsid w:val="007F634C"/>
    <w:rsid w:val="007F710B"/>
    <w:rsid w:val="00801B9A"/>
    <w:rsid w:val="00802A25"/>
    <w:rsid w:val="00803231"/>
    <w:rsid w:val="008037BB"/>
    <w:rsid w:val="00803EB4"/>
    <w:rsid w:val="00804921"/>
    <w:rsid w:val="00805B27"/>
    <w:rsid w:val="0080608E"/>
    <w:rsid w:val="008069A6"/>
    <w:rsid w:val="00806BF5"/>
    <w:rsid w:val="008070CD"/>
    <w:rsid w:val="00807FAD"/>
    <w:rsid w:val="0081007E"/>
    <w:rsid w:val="008102F2"/>
    <w:rsid w:val="00810465"/>
    <w:rsid w:val="008147A2"/>
    <w:rsid w:val="00814EAC"/>
    <w:rsid w:val="0081548B"/>
    <w:rsid w:val="00815963"/>
    <w:rsid w:val="00816894"/>
    <w:rsid w:val="00820990"/>
    <w:rsid w:val="00821B06"/>
    <w:rsid w:val="00821FB9"/>
    <w:rsid w:val="00822571"/>
    <w:rsid w:val="00824C2B"/>
    <w:rsid w:val="00825A0C"/>
    <w:rsid w:val="00827510"/>
    <w:rsid w:val="008300AE"/>
    <w:rsid w:val="00830E7F"/>
    <w:rsid w:val="00831324"/>
    <w:rsid w:val="00832B19"/>
    <w:rsid w:val="00832B41"/>
    <w:rsid w:val="008332F5"/>
    <w:rsid w:val="008345B9"/>
    <w:rsid w:val="00835891"/>
    <w:rsid w:val="0083630F"/>
    <w:rsid w:val="0083639A"/>
    <w:rsid w:val="00836CD3"/>
    <w:rsid w:val="00836DF2"/>
    <w:rsid w:val="008378DE"/>
    <w:rsid w:val="008405D3"/>
    <w:rsid w:val="00845656"/>
    <w:rsid w:val="00846559"/>
    <w:rsid w:val="00846C52"/>
    <w:rsid w:val="00852135"/>
    <w:rsid w:val="00852496"/>
    <w:rsid w:val="00853096"/>
    <w:rsid w:val="0085396E"/>
    <w:rsid w:val="0085404A"/>
    <w:rsid w:val="0085416D"/>
    <w:rsid w:val="008541E8"/>
    <w:rsid w:val="008552BC"/>
    <w:rsid w:val="008553E4"/>
    <w:rsid w:val="00857485"/>
    <w:rsid w:val="00860384"/>
    <w:rsid w:val="008605FE"/>
    <w:rsid w:val="008626B7"/>
    <w:rsid w:val="008715AA"/>
    <w:rsid w:val="0087183F"/>
    <w:rsid w:val="00871FBB"/>
    <w:rsid w:val="008724D4"/>
    <w:rsid w:val="00873634"/>
    <w:rsid w:val="00873F3E"/>
    <w:rsid w:val="0087554E"/>
    <w:rsid w:val="00875D09"/>
    <w:rsid w:val="008775A2"/>
    <w:rsid w:val="0088005A"/>
    <w:rsid w:val="008821E8"/>
    <w:rsid w:val="00882B18"/>
    <w:rsid w:val="00883825"/>
    <w:rsid w:val="00883A6D"/>
    <w:rsid w:val="0088472B"/>
    <w:rsid w:val="0088474D"/>
    <w:rsid w:val="008861C2"/>
    <w:rsid w:val="00886A12"/>
    <w:rsid w:val="00886C45"/>
    <w:rsid w:val="00886D98"/>
    <w:rsid w:val="00886EEB"/>
    <w:rsid w:val="00886FEF"/>
    <w:rsid w:val="0088743D"/>
    <w:rsid w:val="00887E64"/>
    <w:rsid w:val="008916EB"/>
    <w:rsid w:val="00891AA9"/>
    <w:rsid w:val="00892241"/>
    <w:rsid w:val="00893069"/>
    <w:rsid w:val="0089382C"/>
    <w:rsid w:val="00893BD7"/>
    <w:rsid w:val="00894525"/>
    <w:rsid w:val="0089466E"/>
    <w:rsid w:val="008946DE"/>
    <w:rsid w:val="0089690E"/>
    <w:rsid w:val="00896E27"/>
    <w:rsid w:val="00897C30"/>
    <w:rsid w:val="008A057C"/>
    <w:rsid w:val="008A0965"/>
    <w:rsid w:val="008A0C1E"/>
    <w:rsid w:val="008A0E1A"/>
    <w:rsid w:val="008A1EB7"/>
    <w:rsid w:val="008A201B"/>
    <w:rsid w:val="008A2A1F"/>
    <w:rsid w:val="008A637E"/>
    <w:rsid w:val="008A6A1C"/>
    <w:rsid w:val="008A6DDA"/>
    <w:rsid w:val="008A729E"/>
    <w:rsid w:val="008B030A"/>
    <w:rsid w:val="008B030C"/>
    <w:rsid w:val="008B15C0"/>
    <w:rsid w:val="008B1768"/>
    <w:rsid w:val="008B1F3C"/>
    <w:rsid w:val="008B38D8"/>
    <w:rsid w:val="008B518D"/>
    <w:rsid w:val="008B6EF7"/>
    <w:rsid w:val="008B7F82"/>
    <w:rsid w:val="008C07B6"/>
    <w:rsid w:val="008C14CF"/>
    <w:rsid w:val="008C1AF2"/>
    <w:rsid w:val="008C1F6F"/>
    <w:rsid w:val="008C3A8E"/>
    <w:rsid w:val="008C4708"/>
    <w:rsid w:val="008C56DB"/>
    <w:rsid w:val="008C5B0E"/>
    <w:rsid w:val="008C5CAD"/>
    <w:rsid w:val="008C5D69"/>
    <w:rsid w:val="008C7D7D"/>
    <w:rsid w:val="008D012D"/>
    <w:rsid w:val="008D0B82"/>
    <w:rsid w:val="008D11C1"/>
    <w:rsid w:val="008D2E7D"/>
    <w:rsid w:val="008D3EAA"/>
    <w:rsid w:val="008D413D"/>
    <w:rsid w:val="008D45C0"/>
    <w:rsid w:val="008D5432"/>
    <w:rsid w:val="008D599C"/>
    <w:rsid w:val="008D7905"/>
    <w:rsid w:val="008E05D7"/>
    <w:rsid w:val="008E0C5C"/>
    <w:rsid w:val="008E1F5A"/>
    <w:rsid w:val="008E37AB"/>
    <w:rsid w:val="008E4DF8"/>
    <w:rsid w:val="008E4E38"/>
    <w:rsid w:val="008E5C4E"/>
    <w:rsid w:val="008E74FB"/>
    <w:rsid w:val="008E7A6B"/>
    <w:rsid w:val="008F018D"/>
    <w:rsid w:val="008F02FA"/>
    <w:rsid w:val="008F1430"/>
    <w:rsid w:val="008F17D7"/>
    <w:rsid w:val="008F5ACE"/>
    <w:rsid w:val="008F5CA5"/>
    <w:rsid w:val="008F5E3B"/>
    <w:rsid w:val="008F7319"/>
    <w:rsid w:val="00901114"/>
    <w:rsid w:val="009016BC"/>
    <w:rsid w:val="00901F98"/>
    <w:rsid w:val="00903BF1"/>
    <w:rsid w:val="009052BF"/>
    <w:rsid w:val="009071CA"/>
    <w:rsid w:val="0090756F"/>
    <w:rsid w:val="009076CF"/>
    <w:rsid w:val="00907FE5"/>
    <w:rsid w:val="00910E3A"/>
    <w:rsid w:val="00911155"/>
    <w:rsid w:val="009120D6"/>
    <w:rsid w:val="00912B98"/>
    <w:rsid w:val="009133E9"/>
    <w:rsid w:val="00913C01"/>
    <w:rsid w:val="00915CBD"/>
    <w:rsid w:val="00916B5A"/>
    <w:rsid w:val="00916BC8"/>
    <w:rsid w:val="00916FA2"/>
    <w:rsid w:val="0091748E"/>
    <w:rsid w:val="009203C2"/>
    <w:rsid w:val="00920870"/>
    <w:rsid w:val="00920BA9"/>
    <w:rsid w:val="00921B8D"/>
    <w:rsid w:val="00922478"/>
    <w:rsid w:val="00922B9F"/>
    <w:rsid w:val="00922EE8"/>
    <w:rsid w:val="0092375C"/>
    <w:rsid w:val="00925914"/>
    <w:rsid w:val="00925B41"/>
    <w:rsid w:val="00926164"/>
    <w:rsid w:val="00930B23"/>
    <w:rsid w:val="00931F25"/>
    <w:rsid w:val="009320D8"/>
    <w:rsid w:val="00933777"/>
    <w:rsid w:val="00933AA7"/>
    <w:rsid w:val="00933DAA"/>
    <w:rsid w:val="00934856"/>
    <w:rsid w:val="00935628"/>
    <w:rsid w:val="00935E1E"/>
    <w:rsid w:val="00936859"/>
    <w:rsid w:val="0094022E"/>
    <w:rsid w:val="0094128E"/>
    <w:rsid w:val="009418DC"/>
    <w:rsid w:val="009425A9"/>
    <w:rsid w:val="00943B73"/>
    <w:rsid w:val="009444AD"/>
    <w:rsid w:val="00945453"/>
    <w:rsid w:val="00945629"/>
    <w:rsid w:val="00945DBC"/>
    <w:rsid w:val="009461B1"/>
    <w:rsid w:val="009505C6"/>
    <w:rsid w:val="00952B50"/>
    <w:rsid w:val="00953C5E"/>
    <w:rsid w:val="00955E40"/>
    <w:rsid w:val="00960404"/>
    <w:rsid w:val="00960873"/>
    <w:rsid w:val="009629F9"/>
    <w:rsid w:val="00964761"/>
    <w:rsid w:val="0096562D"/>
    <w:rsid w:val="009676EE"/>
    <w:rsid w:val="00971569"/>
    <w:rsid w:val="00971F6C"/>
    <w:rsid w:val="0097380A"/>
    <w:rsid w:val="009757A2"/>
    <w:rsid w:val="00975DDC"/>
    <w:rsid w:val="009803DD"/>
    <w:rsid w:val="009813A7"/>
    <w:rsid w:val="00982C42"/>
    <w:rsid w:val="00983774"/>
    <w:rsid w:val="00984E6B"/>
    <w:rsid w:val="00985D21"/>
    <w:rsid w:val="00992AB9"/>
    <w:rsid w:val="00994743"/>
    <w:rsid w:val="00994E27"/>
    <w:rsid w:val="00995CF6"/>
    <w:rsid w:val="00996003"/>
    <w:rsid w:val="00996AC4"/>
    <w:rsid w:val="009A144A"/>
    <w:rsid w:val="009A1A54"/>
    <w:rsid w:val="009A274C"/>
    <w:rsid w:val="009A3815"/>
    <w:rsid w:val="009A58DB"/>
    <w:rsid w:val="009A6E17"/>
    <w:rsid w:val="009A78FF"/>
    <w:rsid w:val="009B1A2D"/>
    <w:rsid w:val="009B2D85"/>
    <w:rsid w:val="009B347E"/>
    <w:rsid w:val="009B36C3"/>
    <w:rsid w:val="009B3ABC"/>
    <w:rsid w:val="009B4E4D"/>
    <w:rsid w:val="009B66FD"/>
    <w:rsid w:val="009B68F5"/>
    <w:rsid w:val="009B74E3"/>
    <w:rsid w:val="009C0B06"/>
    <w:rsid w:val="009C1A15"/>
    <w:rsid w:val="009C3BBF"/>
    <w:rsid w:val="009C42B5"/>
    <w:rsid w:val="009C4C6D"/>
    <w:rsid w:val="009C7176"/>
    <w:rsid w:val="009C72DE"/>
    <w:rsid w:val="009C7318"/>
    <w:rsid w:val="009C7DAC"/>
    <w:rsid w:val="009D00F9"/>
    <w:rsid w:val="009D0E29"/>
    <w:rsid w:val="009D16E3"/>
    <w:rsid w:val="009D1FDB"/>
    <w:rsid w:val="009D27E4"/>
    <w:rsid w:val="009D2FBF"/>
    <w:rsid w:val="009D32BC"/>
    <w:rsid w:val="009D402A"/>
    <w:rsid w:val="009D724C"/>
    <w:rsid w:val="009D7FE7"/>
    <w:rsid w:val="009E1091"/>
    <w:rsid w:val="009E3F2F"/>
    <w:rsid w:val="009E5B12"/>
    <w:rsid w:val="009E6B2F"/>
    <w:rsid w:val="009F0081"/>
    <w:rsid w:val="009F05DA"/>
    <w:rsid w:val="009F0FD4"/>
    <w:rsid w:val="009F1E96"/>
    <w:rsid w:val="009F2CB3"/>
    <w:rsid w:val="009F2D4C"/>
    <w:rsid w:val="009F326B"/>
    <w:rsid w:val="009F3422"/>
    <w:rsid w:val="009F3EB3"/>
    <w:rsid w:val="009F4CB9"/>
    <w:rsid w:val="009F5000"/>
    <w:rsid w:val="009F5B74"/>
    <w:rsid w:val="009F7D58"/>
    <w:rsid w:val="00A0351F"/>
    <w:rsid w:val="00A03710"/>
    <w:rsid w:val="00A038EE"/>
    <w:rsid w:val="00A04337"/>
    <w:rsid w:val="00A04BB4"/>
    <w:rsid w:val="00A0679D"/>
    <w:rsid w:val="00A069BB"/>
    <w:rsid w:val="00A070BE"/>
    <w:rsid w:val="00A073C8"/>
    <w:rsid w:val="00A073CE"/>
    <w:rsid w:val="00A07681"/>
    <w:rsid w:val="00A07BC8"/>
    <w:rsid w:val="00A10186"/>
    <w:rsid w:val="00A10B0D"/>
    <w:rsid w:val="00A113A8"/>
    <w:rsid w:val="00A11A19"/>
    <w:rsid w:val="00A11AC1"/>
    <w:rsid w:val="00A12169"/>
    <w:rsid w:val="00A129AF"/>
    <w:rsid w:val="00A13AAF"/>
    <w:rsid w:val="00A14B1A"/>
    <w:rsid w:val="00A15FEC"/>
    <w:rsid w:val="00A1601F"/>
    <w:rsid w:val="00A162A3"/>
    <w:rsid w:val="00A164C1"/>
    <w:rsid w:val="00A20128"/>
    <w:rsid w:val="00A2038A"/>
    <w:rsid w:val="00A2093C"/>
    <w:rsid w:val="00A21B89"/>
    <w:rsid w:val="00A21E0A"/>
    <w:rsid w:val="00A22226"/>
    <w:rsid w:val="00A22609"/>
    <w:rsid w:val="00A22E3E"/>
    <w:rsid w:val="00A22F75"/>
    <w:rsid w:val="00A23656"/>
    <w:rsid w:val="00A24389"/>
    <w:rsid w:val="00A251C2"/>
    <w:rsid w:val="00A26103"/>
    <w:rsid w:val="00A26183"/>
    <w:rsid w:val="00A26C7A"/>
    <w:rsid w:val="00A27FC5"/>
    <w:rsid w:val="00A301D2"/>
    <w:rsid w:val="00A3179E"/>
    <w:rsid w:val="00A32428"/>
    <w:rsid w:val="00A33B90"/>
    <w:rsid w:val="00A3644C"/>
    <w:rsid w:val="00A36B0A"/>
    <w:rsid w:val="00A36B63"/>
    <w:rsid w:val="00A37DFB"/>
    <w:rsid w:val="00A41E32"/>
    <w:rsid w:val="00A4216B"/>
    <w:rsid w:val="00A43A9A"/>
    <w:rsid w:val="00A44A0C"/>
    <w:rsid w:val="00A469EE"/>
    <w:rsid w:val="00A471BB"/>
    <w:rsid w:val="00A50EB9"/>
    <w:rsid w:val="00A5162C"/>
    <w:rsid w:val="00A53659"/>
    <w:rsid w:val="00A53884"/>
    <w:rsid w:val="00A54818"/>
    <w:rsid w:val="00A54AB8"/>
    <w:rsid w:val="00A54B83"/>
    <w:rsid w:val="00A54E0A"/>
    <w:rsid w:val="00A55C1E"/>
    <w:rsid w:val="00A55FA1"/>
    <w:rsid w:val="00A60911"/>
    <w:rsid w:val="00A60BD2"/>
    <w:rsid w:val="00A6330D"/>
    <w:rsid w:val="00A634FD"/>
    <w:rsid w:val="00A640DE"/>
    <w:rsid w:val="00A65E90"/>
    <w:rsid w:val="00A660F1"/>
    <w:rsid w:val="00A675F7"/>
    <w:rsid w:val="00A67CCE"/>
    <w:rsid w:val="00A702D9"/>
    <w:rsid w:val="00A70FC4"/>
    <w:rsid w:val="00A710DD"/>
    <w:rsid w:val="00A73140"/>
    <w:rsid w:val="00A73609"/>
    <w:rsid w:val="00A74348"/>
    <w:rsid w:val="00A743F6"/>
    <w:rsid w:val="00A75191"/>
    <w:rsid w:val="00A75A73"/>
    <w:rsid w:val="00A77161"/>
    <w:rsid w:val="00A7723B"/>
    <w:rsid w:val="00A774EB"/>
    <w:rsid w:val="00A802E4"/>
    <w:rsid w:val="00A8035D"/>
    <w:rsid w:val="00A81A83"/>
    <w:rsid w:val="00A835F2"/>
    <w:rsid w:val="00A855D0"/>
    <w:rsid w:val="00A8610F"/>
    <w:rsid w:val="00A8622B"/>
    <w:rsid w:val="00A8649E"/>
    <w:rsid w:val="00A8656C"/>
    <w:rsid w:val="00A91A04"/>
    <w:rsid w:val="00A92938"/>
    <w:rsid w:val="00A92EA8"/>
    <w:rsid w:val="00AA090D"/>
    <w:rsid w:val="00AA1D2F"/>
    <w:rsid w:val="00AA3918"/>
    <w:rsid w:val="00AA417E"/>
    <w:rsid w:val="00AA44F0"/>
    <w:rsid w:val="00AA4589"/>
    <w:rsid w:val="00AA4963"/>
    <w:rsid w:val="00AA5FEA"/>
    <w:rsid w:val="00AA6168"/>
    <w:rsid w:val="00AA6503"/>
    <w:rsid w:val="00AB003F"/>
    <w:rsid w:val="00AB0294"/>
    <w:rsid w:val="00AB08C6"/>
    <w:rsid w:val="00AB0A88"/>
    <w:rsid w:val="00AB1C22"/>
    <w:rsid w:val="00AB23D3"/>
    <w:rsid w:val="00AB38E0"/>
    <w:rsid w:val="00AB421A"/>
    <w:rsid w:val="00AB46F1"/>
    <w:rsid w:val="00AB51E5"/>
    <w:rsid w:val="00AB5235"/>
    <w:rsid w:val="00AB55FF"/>
    <w:rsid w:val="00AB68F3"/>
    <w:rsid w:val="00AC2688"/>
    <w:rsid w:val="00AC45D8"/>
    <w:rsid w:val="00AC53E6"/>
    <w:rsid w:val="00AC5E49"/>
    <w:rsid w:val="00AC608A"/>
    <w:rsid w:val="00AC74CE"/>
    <w:rsid w:val="00AC7BBA"/>
    <w:rsid w:val="00AC7ED2"/>
    <w:rsid w:val="00AD10A0"/>
    <w:rsid w:val="00AD1338"/>
    <w:rsid w:val="00AD178C"/>
    <w:rsid w:val="00AD3B00"/>
    <w:rsid w:val="00AD4C86"/>
    <w:rsid w:val="00AD5110"/>
    <w:rsid w:val="00AD5267"/>
    <w:rsid w:val="00AE152E"/>
    <w:rsid w:val="00AE1C54"/>
    <w:rsid w:val="00AE32E0"/>
    <w:rsid w:val="00AE40D8"/>
    <w:rsid w:val="00AE554C"/>
    <w:rsid w:val="00AE7723"/>
    <w:rsid w:val="00AF0650"/>
    <w:rsid w:val="00AF1517"/>
    <w:rsid w:val="00AF1EAB"/>
    <w:rsid w:val="00AF240C"/>
    <w:rsid w:val="00AF2CF2"/>
    <w:rsid w:val="00AF3F0E"/>
    <w:rsid w:val="00AF4437"/>
    <w:rsid w:val="00AF470D"/>
    <w:rsid w:val="00AF4A0E"/>
    <w:rsid w:val="00AF4CA6"/>
    <w:rsid w:val="00AF5C61"/>
    <w:rsid w:val="00AF5CC7"/>
    <w:rsid w:val="00AF62B4"/>
    <w:rsid w:val="00AF6405"/>
    <w:rsid w:val="00AF7B68"/>
    <w:rsid w:val="00B01D30"/>
    <w:rsid w:val="00B02035"/>
    <w:rsid w:val="00B0275F"/>
    <w:rsid w:val="00B03406"/>
    <w:rsid w:val="00B0536E"/>
    <w:rsid w:val="00B112A7"/>
    <w:rsid w:val="00B11511"/>
    <w:rsid w:val="00B117F5"/>
    <w:rsid w:val="00B12028"/>
    <w:rsid w:val="00B120E2"/>
    <w:rsid w:val="00B1228C"/>
    <w:rsid w:val="00B14904"/>
    <w:rsid w:val="00B14A60"/>
    <w:rsid w:val="00B14BFF"/>
    <w:rsid w:val="00B16888"/>
    <w:rsid w:val="00B174FC"/>
    <w:rsid w:val="00B208C1"/>
    <w:rsid w:val="00B20914"/>
    <w:rsid w:val="00B21C09"/>
    <w:rsid w:val="00B22AC3"/>
    <w:rsid w:val="00B238FF"/>
    <w:rsid w:val="00B23C65"/>
    <w:rsid w:val="00B24C31"/>
    <w:rsid w:val="00B262DA"/>
    <w:rsid w:val="00B2671D"/>
    <w:rsid w:val="00B27180"/>
    <w:rsid w:val="00B2729A"/>
    <w:rsid w:val="00B3192D"/>
    <w:rsid w:val="00B31B62"/>
    <w:rsid w:val="00B31F65"/>
    <w:rsid w:val="00B321D9"/>
    <w:rsid w:val="00B32714"/>
    <w:rsid w:val="00B32E0A"/>
    <w:rsid w:val="00B33636"/>
    <w:rsid w:val="00B34D33"/>
    <w:rsid w:val="00B35513"/>
    <w:rsid w:val="00B36419"/>
    <w:rsid w:val="00B37A09"/>
    <w:rsid w:val="00B401A7"/>
    <w:rsid w:val="00B405F8"/>
    <w:rsid w:val="00B4173F"/>
    <w:rsid w:val="00B42024"/>
    <w:rsid w:val="00B43324"/>
    <w:rsid w:val="00B45612"/>
    <w:rsid w:val="00B5102A"/>
    <w:rsid w:val="00B519E0"/>
    <w:rsid w:val="00B5313B"/>
    <w:rsid w:val="00B5443F"/>
    <w:rsid w:val="00B55DB1"/>
    <w:rsid w:val="00B562DE"/>
    <w:rsid w:val="00B61469"/>
    <w:rsid w:val="00B620E7"/>
    <w:rsid w:val="00B624D6"/>
    <w:rsid w:val="00B6260B"/>
    <w:rsid w:val="00B62701"/>
    <w:rsid w:val="00B62BE6"/>
    <w:rsid w:val="00B631E9"/>
    <w:rsid w:val="00B636E3"/>
    <w:rsid w:val="00B63893"/>
    <w:rsid w:val="00B64A38"/>
    <w:rsid w:val="00B64D2E"/>
    <w:rsid w:val="00B65B7E"/>
    <w:rsid w:val="00B65D81"/>
    <w:rsid w:val="00B667F0"/>
    <w:rsid w:val="00B66F13"/>
    <w:rsid w:val="00B67319"/>
    <w:rsid w:val="00B67D51"/>
    <w:rsid w:val="00B71773"/>
    <w:rsid w:val="00B71797"/>
    <w:rsid w:val="00B71A31"/>
    <w:rsid w:val="00B7240D"/>
    <w:rsid w:val="00B72559"/>
    <w:rsid w:val="00B726C2"/>
    <w:rsid w:val="00B7311E"/>
    <w:rsid w:val="00B7316C"/>
    <w:rsid w:val="00B7347E"/>
    <w:rsid w:val="00B768DA"/>
    <w:rsid w:val="00B77AF9"/>
    <w:rsid w:val="00B80FCA"/>
    <w:rsid w:val="00B810A0"/>
    <w:rsid w:val="00B816F0"/>
    <w:rsid w:val="00B81848"/>
    <w:rsid w:val="00B81FA8"/>
    <w:rsid w:val="00B82F18"/>
    <w:rsid w:val="00B83112"/>
    <w:rsid w:val="00B84B64"/>
    <w:rsid w:val="00B85DDC"/>
    <w:rsid w:val="00B87EC3"/>
    <w:rsid w:val="00B926D8"/>
    <w:rsid w:val="00B9418A"/>
    <w:rsid w:val="00B94892"/>
    <w:rsid w:val="00B9581C"/>
    <w:rsid w:val="00B95D05"/>
    <w:rsid w:val="00B974BF"/>
    <w:rsid w:val="00B97951"/>
    <w:rsid w:val="00BA0A9F"/>
    <w:rsid w:val="00BA0F55"/>
    <w:rsid w:val="00BA2E00"/>
    <w:rsid w:val="00BA3F85"/>
    <w:rsid w:val="00BA5705"/>
    <w:rsid w:val="00BA7009"/>
    <w:rsid w:val="00BB0BE3"/>
    <w:rsid w:val="00BB129E"/>
    <w:rsid w:val="00BB15BE"/>
    <w:rsid w:val="00BB1781"/>
    <w:rsid w:val="00BB1E73"/>
    <w:rsid w:val="00BB1F56"/>
    <w:rsid w:val="00BB234C"/>
    <w:rsid w:val="00BB23B3"/>
    <w:rsid w:val="00BB3FEF"/>
    <w:rsid w:val="00BB4090"/>
    <w:rsid w:val="00BB5669"/>
    <w:rsid w:val="00BB5A88"/>
    <w:rsid w:val="00BB617B"/>
    <w:rsid w:val="00BB6745"/>
    <w:rsid w:val="00BB6B82"/>
    <w:rsid w:val="00BB6CD6"/>
    <w:rsid w:val="00BB7D57"/>
    <w:rsid w:val="00BC2D4C"/>
    <w:rsid w:val="00BC319A"/>
    <w:rsid w:val="00BC3575"/>
    <w:rsid w:val="00BC4922"/>
    <w:rsid w:val="00BC4B41"/>
    <w:rsid w:val="00BC5595"/>
    <w:rsid w:val="00BC6393"/>
    <w:rsid w:val="00BC69AE"/>
    <w:rsid w:val="00BC766B"/>
    <w:rsid w:val="00BD0D14"/>
    <w:rsid w:val="00BD49D7"/>
    <w:rsid w:val="00BE1BEE"/>
    <w:rsid w:val="00BE2E9A"/>
    <w:rsid w:val="00BE3C2C"/>
    <w:rsid w:val="00BE3E67"/>
    <w:rsid w:val="00BE42E8"/>
    <w:rsid w:val="00BE51F3"/>
    <w:rsid w:val="00BE62AC"/>
    <w:rsid w:val="00BE63F6"/>
    <w:rsid w:val="00BE659F"/>
    <w:rsid w:val="00BE69F5"/>
    <w:rsid w:val="00BE6B89"/>
    <w:rsid w:val="00BE6FE3"/>
    <w:rsid w:val="00BF116A"/>
    <w:rsid w:val="00BF14B1"/>
    <w:rsid w:val="00BF2C64"/>
    <w:rsid w:val="00BF3F7C"/>
    <w:rsid w:val="00BF42AB"/>
    <w:rsid w:val="00BF4ED9"/>
    <w:rsid w:val="00BF50B1"/>
    <w:rsid w:val="00BF5B02"/>
    <w:rsid w:val="00BF71EB"/>
    <w:rsid w:val="00BF7486"/>
    <w:rsid w:val="00C01439"/>
    <w:rsid w:val="00C0192E"/>
    <w:rsid w:val="00C01B78"/>
    <w:rsid w:val="00C01D5D"/>
    <w:rsid w:val="00C02208"/>
    <w:rsid w:val="00C02912"/>
    <w:rsid w:val="00C02EC6"/>
    <w:rsid w:val="00C05492"/>
    <w:rsid w:val="00C06388"/>
    <w:rsid w:val="00C067AF"/>
    <w:rsid w:val="00C12D0A"/>
    <w:rsid w:val="00C13650"/>
    <w:rsid w:val="00C153E8"/>
    <w:rsid w:val="00C17396"/>
    <w:rsid w:val="00C17E5A"/>
    <w:rsid w:val="00C24B2E"/>
    <w:rsid w:val="00C25900"/>
    <w:rsid w:val="00C26E17"/>
    <w:rsid w:val="00C306F7"/>
    <w:rsid w:val="00C30712"/>
    <w:rsid w:val="00C32706"/>
    <w:rsid w:val="00C328EB"/>
    <w:rsid w:val="00C338A6"/>
    <w:rsid w:val="00C33EAD"/>
    <w:rsid w:val="00C3495E"/>
    <w:rsid w:val="00C34F18"/>
    <w:rsid w:val="00C3584C"/>
    <w:rsid w:val="00C35AD9"/>
    <w:rsid w:val="00C37794"/>
    <w:rsid w:val="00C37A2B"/>
    <w:rsid w:val="00C40C40"/>
    <w:rsid w:val="00C41316"/>
    <w:rsid w:val="00C417E3"/>
    <w:rsid w:val="00C42186"/>
    <w:rsid w:val="00C43362"/>
    <w:rsid w:val="00C436FE"/>
    <w:rsid w:val="00C43C68"/>
    <w:rsid w:val="00C44672"/>
    <w:rsid w:val="00C453DA"/>
    <w:rsid w:val="00C453E2"/>
    <w:rsid w:val="00C46940"/>
    <w:rsid w:val="00C46F75"/>
    <w:rsid w:val="00C471C5"/>
    <w:rsid w:val="00C47AE9"/>
    <w:rsid w:val="00C507D2"/>
    <w:rsid w:val="00C51466"/>
    <w:rsid w:val="00C515C9"/>
    <w:rsid w:val="00C51B04"/>
    <w:rsid w:val="00C532E2"/>
    <w:rsid w:val="00C5434D"/>
    <w:rsid w:val="00C563CA"/>
    <w:rsid w:val="00C57CC3"/>
    <w:rsid w:val="00C60465"/>
    <w:rsid w:val="00C6065B"/>
    <w:rsid w:val="00C60A5D"/>
    <w:rsid w:val="00C60D4A"/>
    <w:rsid w:val="00C60EF3"/>
    <w:rsid w:val="00C64263"/>
    <w:rsid w:val="00C6489D"/>
    <w:rsid w:val="00C64ECC"/>
    <w:rsid w:val="00C65059"/>
    <w:rsid w:val="00C670BE"/>
    <w:rsid w:val="00C71BCF"/>
    <w:rsid w:val="00C7270B"/>
    <w:rsid w:val="00C7319E"/>
    <w:rsid w:val="00C73460"/>
    <w:rsid w:val="00C73E32"/>
    <w:rsid w:val="00C77469"/>
    <w:rsid w:val="00C77A9F"/>
    <w:rsid w:val="00C8067E"/>
    <w:rsid w:val="00C824D1"/>
    <w:rsid w:val="00C83120"/>
    <w:rsid w:val="00C83A3F"/>
    <w:rsid w:val="00C871C6"/>
    <w:rsid w:val="00C90D4D"/>
    <w:rsid w:val="00C90ECF"/>
    <w:rsid w:val="00C915A2"/>
    <w:rsid w:val="00C91FCF"/>
    <w:rsid w:val="00C927E7"/>
    <w:rsid w:val="00C93B0A"/>
    <w:rsid w:val="00C93E5F"/>
    <w:rsid w:val="00C94775"/>
    <w:rsid w:val="00C951A3"/>
    <w:rsid w:val="00C967DD"/>
    <w:rsid w:val="00C96F95"/>
    <w:rsid w:val="00CA01B2"/>
    <w:rsid w:val="00CA1058"/>
    <w:rsid w:val="00CA30F9"/>
    <w:rsid w:val="00CA3C07"/>
    <w:rsid w:val="00CA4560"/>
    <w:rsid w:val="00CA473F"/>
    <w:rsid w:val="00CA5E1C"/>
    <w:rsid w:val="00CA7555"/>
    <w:rsid w:val="00CB01E9"/>
    <w:rsid w:val="00CB08E2"/>
    <w:rsid w:val="00CB14EE"/>
    <w:rsid w:val="00CB1FED"/>
    <w:rsid w:val="00CB220C"/>
    <w:rsid w:val="00CB37B8"/>
    <w:rsid w:val="00CB4728"/>
    <w:rsid w:val="00CB5852"/>
    <w:rsid w:val="00CB6263"/>
    <w:rsid w:val="00CB66DE"/>
    <w:rsid w:val="00CB6B1E"/>
    <w:rsid w:val="00CC0957"/>
    <w:rsid w:val="00CC0AE5"/>
    <w:rsid w:val="00CC0BBC"/>
    <w:rsid w:val="00CC192E"/>
    <w:rsid w:val="00CC239A"/>
    <w:rsid w:val="00CC2BE2"/>
    <w:rsid w:val="00CC2F84"/>
    <w:rsid w:val="00CC3131"/>
    <w:rsid w:val="00CC3680"/>
    <w:rsid w:val="00CC4ED3"/>
    <w:rsid w:val="00CC5D51"/>
    <w:rsid w:val="00CC7ABF"/>
    <w:rsid w:val="00CC7BD8"/>
    <w:rsid w:val="00CD028F"/>
    <w:rsid w:val="00CD0349"/>
    <w:rsid w:val="00CD07F9"/>
    <w:rsid w:val="00CD09CD"/>
    <w:rsid w:val="00CD1494"/>
    <w:rsid w:val="00CD3318"/>
    <w:rsid w:val="00CD534E"/>
    <w:rsid w:val="00CD6233"/>
    <w:rsid w:val="00CD6823"/>
    <w:rsid w:val="00CD7EB3"/>
    <w:rsid w:val="00CE09F7"/>
    <w:rsid w:val="00CE116B"/>
    <w:rsid w:val="00CE2C5B"/>
    <w:rsid w:val="00CE4D5A"/>
    <w:rsid w:val="00CE56B9"/>
    <w:rsid w:val="00CE5FAA"/>
    <w:rsid w:val="00CE6DFD"/>
    <w:rsid w:val="00CE752F"/>
    <w:rsid w:val="00CF0280"/>
    <w:rsid w:val="00CF06C5"/>
    <w:rsid w:val="00CF1022"/>
    <w:rsid w:val="00CF1666"/>
    <w:rsid w:val="00CF24E1"/>
    <w:rsid w:val="00CF28C3"/>
    <w:rsid w:val="00CF38BA"/>
    <w:rsid w:val="00CF56AF"/>
    <w:rsid w:val="00CF5748"/>
    <w:rsid w:val="00CF5897"/>
    <w:rsid w:val="00CF5901"/>
    <w:rsid w:val="00CF7025"/>
    <w:rsid w:val="00CF70D8"/>
    <w:rsid w:val="00D00D5F"/>
    <w:rsid w:val="00D00F5E"/>
    <w:rsid w:val="00D026DE"/>
    <w:rsid w:val="00D02B5E"/>
    <w:rsid w:val="00D035C4"/>
    <w:rsid w:val="00D04B03"/>
    <w:rsid w:val="00D04B7E"/>
    <w:rsid w:val="00D05BFE"/>
    <w:rsid w:val="00D05E85"/>
    <w:rsid w:val="00D06335"/>
    <w:rsid w:val="00D07EF1"/>
    <w:rsid w:val="00D10E22"/>
    <w:rsid w:val="00D12F75"/>
    <w:rsid w:val="00D1303C"/>
    <w:rsid w:val="00D137FE"/>
    <w:rsid w:val="00D13CC9"/>
    <w:rsid w:val="00D140B2"/>
    <w:rsid w:val="00D20747"/>
    <w:rsid w:val="00D2100D"/>
    <w:rsid w:val="00D21352"/>
    <w:rsid w:val="00D21CA3"/>
    <w:rsid w:val="00D23417"/>
    <w:rsid w:val="00D24CE2"/>
    <w:rsid w:val="00D24E27"/>
    <w:rsid w:val="00D25486"/>
    <w:rsid w:val="00D30AC1"/>
    <w:rsid w:val="00D315AB"/>
    <w:rsid w:val="00D31721"/>
    <w:rsid w:val="00D32A68"/>
    <w:rsid w:val="00D33AA9"/>
    <w:rsid w:val="00D36E90"/>
    <w:rsid w:val="00D40488"/>
    <w:rsid w:val="00D4144D"/>
    <w:rsid w:val="00D419AD"/>
    <w:rsid w:val="00D42534"/>
    <w:rsid w:val="00D44943"/>
    <w:rsid w:val="00D44BB9"/>
    <w:rsid w:val="00D45C34"/>
    <w:rsid w:val="00D46603"/>
    <w:rsid w:val="00D467D3"/>
    <w:rsid w:val="00D46FC9"/>
    <w:rsid w:val="00D543FA"/>
    <w:rsid w:val="00D55479"/>
    <w:rsid w:val="00D55EAB"/>
    <w:rsid w:val="00D5601D"/>
    <w:rsid w:val="00D57495"/>
    <w:rsid w:val="00D57E4F"/>
    <w:rsid w:val="00D605AC"/>
    <w:rsid w:val="00D61AB6"/>
    <w:rsid w:val="00D62223"/>
    <w:rsid w:val="00D629F8"/>
    <w:rsid w:val="00D646DA"/>
    <w:rsid w:val="00D64C6E"/>
    <w:rsid w:val="00D67E90"/>
    <w:rsid w:val="00D7208B"/>
    <w:rsid w:val="00D72EC6"/>
    <w:rsid w:val="00D73770"/>
    <w:rsid w:val="00D74545"/>
    <w:rsid w:val="00D7665C"/>
    <w:rsid w:val="00D77860"/>
    <w:rsid w:val="00D77B5F"/>
    <w:rsid w:val="00D77C81"/>
    <w:rsid w:val="00D80237"/>
    <w:rsid w:val="00D80675"/>
    <w:rsid w:val="00D809D9"/>
    <w:rsid w:val="00D80BFC"/>
    <w:rsid w:val="00D80C35"/>
    <w:rsid w:val="00D8185F"/>
    <w:rsid w:val="00D82228"/>
    <w:rsid w:val="00D827FC"/>
    <w:rsid w:val="00D839FC"/>
    <w:rsid w:val="00D86D52"/>
    <w:rsid w:val="00D9086D"/>
    <w:rsid w:val="00D90BB8"/>
    <w:rsid w:val="00D90EE1"/>
    <w:rsid w:val="00D91A0F"/>
    <w:rsid w:val="00D91F75"/>
    <w:rsid w:val="00D9235B"/>
    <w:rsid w:val="00D94FB0"/>
    <w:rsid w:val="00D95832"/>
    <w:rsid w:val="00D96F23"/>
    <w:rsid w:val="00D97527"/>
    <w:rsid w:val="00DA0DE9"/>
    <w:rsid w:val="00DA0E1C"/>
    <w:rsid w:val="00DA10B7"/>
    <w:rsid w:val="00DA5949"/>
    <w:rsid w:val="00DA749A"/>
    <w:rsid w:val="00DA7545"/>
    <w:rsid w:val="00DB14EC"/>
    <w:rsid w:val="00DB1E79"/>
    <w:rsid w:val="00DB21E8"/>
    <w:rsid w:val="00DB4649"/>
    <w:rsid w:val="00DB577E"/>
    <w:rsid w:val="00DB5E33"/>
    <w:rsid w:val="00DC09D5"/>
    <w:rsid w:val="00DC09F7"/>
    <w:rsid w:val="00DC2346"/>
    <w:rsid w:val="00DC48B7"/>
    <w:rsid w:val="00DC4D0D"/>
    <w:rsid w:val="00DD0493"/>
    <w:rsid w:val="00DD1954"/>
    <w:rsid w:val="00DD2517"/>
    <w:rsid w:val="00DD2BA4"/>
    <w:rsid w:val="00DD3143"/>
    <w:rsid w:val="00DD3D3A"/>
    <w:rsid w:val="00DD3EA1"/>
    <w:rsid w:val="00DD4687"/>
    <w:rsid w:val="00DD566E"/>
    <w:rsid w:val="00DD709D"/>
    <w:rsid w:val="00DD7346"/>
    <w:rsid w:val="00DE091D"/>
    <w:rsid w:val="00DE434A"/>
    <w:rsid w:val="00DE56E9"/>
    <w:rsid w:val="00DE576E"/>
    <w:rsid w:val="00DE5844"/>
    <w:rsid w:val="00DE5B70"/>
    <w:rsid w:val="00DE672D"/>
    <w:rsid w:val="00DE6870"/>
    <w:rsid w:val="00DE6F92"/>
    <w:rsid w:val="00DE709B"/>
    <w:rsid w:val="00DF18D4"/>
    <w:rsid w:val="00DF398C"/>
    <w:rsid w:val="00DF496D"/>
    <w:rsid w:val="00DF5239"/>
    <w:rsid w:val="00DF7183"/>
    <w:rsid w:val="00DF7253"/>
    <w:rsid w:val="00DF75F9"/>
    <w:rsid w:val="00E022A9"/>
    <w:rsid w:val="00E02929"/>
    <w:rsid w:val="00E05816"/>
    <w:rsid w:val="00E05884"/>
    <w:rsid w:val="00E0672E"/>
    <w:rsid w:val="00E07936"/>
    <w:rsid w:val="00E100B5"/>
    <w:rsid w:val="00E105F0"/>
    <w:rsid w:val="00E11072"/>
    <w:rsid w:val="00E11C8D"/>
    <w:rsid w:val="00E12CBA"/>
    <w:rsid w:val="00E13E37"/>
    <w:rsid w:val="00E13EA4"/>
    <w:rsid w:val="00E1430B"/>
    <w:rsid w:val="00E14D2E"/>
    <w:rsid w:val="00E14E53"/>
    <w:rsid w:val="00E155D5"/>
    <w:rsid w:val="00E16802"/>
    <w:rsid w:val="00E1718D"/>
    <w:rsid w:val="00E177BB"/>
    <w:rsid w:val="00E17831"/>
    <w:rsid w:val="00E20C1A"/>
    <w:rsid w:val="00E214E1"/>
    <w:rsid w:val="00E27BC3"/>
    <w:rsid w:val="00E32718"/>
    <w:rsid w:val="00E3277F"/>
    <w:rsid w:val="00E32A3A"/>
    <w:rsid w:val="00E33002"/>
    <w:rsid w:val="00E34399"/>
    <w:rsid w:val="00E36704"/>
    <w:rsid w:val="00E373B3"/>
    <w:rsid w:val="00E378B5"/>
    <w:rsid w:val="00E379E0"/>
    <w:rsid w:val="00E37CB5"/>
    <w:rsid w:val="00E37CBF"/>
    <w:rsid w:val="00E41080"/>
    <w:rsid w:val="00E428FB"/>
    <w:rsid w:val="00E435B6"/>
    <w:rsid w:val="00E439C4"/>
    <w:rsid w:val="00E43EC3"/>
    <w:rsid w:val="00E445C4"/>
    <w:rsid w:val="00E45A22"/>
    <w:rsid w:val="00E46A12"/>
    <w:rsid w:val="00E46B53"/>
    <w:rsid w:val="00E46C34"/>
    <w:rsid w:val="00E5006D"/>
    <w:rsid w:val="00E50363"/>
    <w:rsid w:val="00E50454"/>
    <w:rsid w:val="00E50B69"/>
    <w:rsid w:val="00E5285C"/>
    <w:rsid w:val="00E529DF"/>
    <w:rsid w:val="00E52E5A"/>
    <w:rsid w:val="00E568E5"/>
    <w:rsid w:val="00E56CB8"/>
    <w:rsid w:val="00E623C3"/>
    <w:rsid w:val="00E638DE"/>
    <w:rsid w:val="00E64CCD"/>
    <w:rsid w:val="00E65BFD"/>
    <w:rsid w:val="00E704E1"/>
    <w:rsid w:val="00E70788"/>
    <w:rsid w:val="00E73ED3"/>
    <w:rsid w:val="00E74EED"/>
    <w:rsid w:val="00E75277"/>
    <w:rsid w:val="00E7530C"/>
    <w:rsid w:val="00E77867"/>
    <w:rsid w:val="00E77F73"/>
    <w:rsid w:val="00E8049B"/>
    <w:rsid w:val="00E805A4"/>
    <w:rsid w:val="00E80ABC"/>
    <w:rsid w:val="00E81F1E"/>
    <w:rsid w:val="00E820A3"/>
    <w:rsid w:val="00E829B9"/>
    <w:rsid w:val="00E83A6B"/>
    <w:rsid w:val="00E84536"/>
    <w:rsid w:val="00E84858"/>
    <w:rsid w:val="00E85A94"/>
    <w:rsid w:val="00E86A57"/>
    <w:rsid w:val="00E87866"/>
    <w:rsid w:val="00E9046C"/>
    <w:rsid w:val="00E91A81"/>
    <w:rsid w:val="00E922A4"/>
    <w:rsid w:val="00E93CC4"/>
    <w:rsid w:val="00E949C1"/>
    <w:rsid w:val="00E9524E"/>
    <w:rsid w:val="00E9656D"/>
    <w:rsid w:val="00E965EF"/>
    <w:rsid w:val="00EA00EA"/>
    <w:rsid w:val="00EA11C9"/>
    <w:rsid w:val="00EA1852"/>
    <w:rsid w:val="00EA1A14"/>
    <w:rsid w:val="00EA1CEC"/>
    <w:rsid w:val="00EA1E69"/>
    <w:rsid w:val="00EA1E75"/>
    <w:rsid w:val="00EA25EC"/>
    <w:rsid w:val="00EA2CBC"/>
    <w:rsid w:val="00EA309A"/>
    <w:rsid w:val="00EA32E9"/>
    <w:rsid w:val="00EA3827"/>
    <w:rsid w:val="00EA3F19"/>
    <w:rsid w:val="00EA40BD"/>
    <w:rsid w:val="00EA7326"/>
    <w:rsid w:val="00EB051D"/>
    <w:rsid w:val="00EB3057"/>
    <w:rsid w:val="00EB3857"/>
    <w:rsid w:val="00EB3D9F"/>
    <w:rsid w:val="00EB46FC"/>
    <w:rsid w:val="00EB536E"/>
    <w:rsid w:val="00EB592B"/>
    <w:rsid w:val="00EB78DA"/>
    <w:rsid w:val="00EC1DB7"/>
    <w:rsid w:val="00EC2790"/>
    <w:rsid w:val="00EC2B09"/>
    <w:rsid w:val="00EC3098"/>
    <w:rsid w:val="00EC3AE8"/>
    <w:rsid w:val="00EC49AF"/>
    <w:rsid w:val="00EC512D"/>
    <w:rsid w:val="00EC51FD"/>
    <w:rsid w:val="00EC5792"/>
    <w:rsid w:val="00EC5AF3"/>
    <w:rsid w:val="00EC5DD9"/>
    <w:rsid w:val="00EC63CE"/>
    <w:rsid w:val="00ED07AC"/>
    <w:rsid w:val="00ED1B0D"/>
    <w:rsid w:val="00ED1C72"/>
    <w:rsid w:val="00ED39DF"/>
    <w:rsid w:val="00ED4E5D"/>
    <w:rsid w:val="00ED52D4"/>
    <w:rsid w:val="00ED5FFD"/>
    <w:rsid w:val="00ED62B9"/>
    <w:rsid w:val="00EE1D57"/>
    <w:rsid w:val="00EE474B"/>
    <w:rsid w:val="00EE5933"/>
    <w:rsid w:val="00EE69D9"/>
    <w:rsid w:val="00EE6F8A"/>
    <w:rsid w:val="00EE76D5"/>
    <w:rsid w:val="00EF0224"/>
    <w:rsid w:val="00EF17B5"/>
    <w:rsid w:val="00EF1832"/>
    <w:rsid w:val="00EF20B1"/>
    <w:rsid w:val="00EF20C8"/>
    <w:rsid w:val="00EF25FE"/>
    <w:rsid w:val="00EF263A"/>
    <w:rsid w:val="00EF3D41"/>
    <w:rsid w:val="00EF4507"/>
    <w:rsid w:val="00EF4EB1"/>
    <w:rsid w:val="00F020CB"/>
    <w:rsid w:val="00F03B98"/>
    <w:rsid w:val="00F059A2"/>
    <w:rsid w:val="00F07C46"/>
    <w:rsid w:val="00F07D01"/>
    <w:rsid w:val="00F114C7"/>
    <w:rsid w:val="00F11D79"/>
    <w:rsid w:val="00F123EA"/>
    <w:rsid w:val="00F12C12"/>
    <w:rsid w:val="00F136F6"/>
    <w:rsid w:val="00F144F8"/>
    <w:rsid w:val="00F15E52"/>
    <w:rsid w:val="00F171AB"/>
    <w:rsid w:val="00F17860"/>
    <w:rsid w:val="00F17D0B"/>
    <w:rsid w:val="00F21C3B"/>
    <w:rsid w:val="00F21DA5"/>
    <w:rsid w:val="00F22722"/>
    <w:rsid w:val="00F228BC"/>
    <w:rsid w:val="00F22995"/>
    <w:rsid w:val="00F22A82"/>
    <w:rsid w:val="00F23392"/>
    <w:rsid w:val="00F23A73"/>
    <w:rsid w:val="00F24258"/>
    <w:rsid w:val="00F24E10"/>
    <w:rsid w:val="00F2555C"/>
    <w:rsid w:val="00F25683"/>
    <w:rsid w:val="00F2638C"/>
    <w:rsid w:val="00F26975"/>
    <w:rsid w:val="00F272E8"/>
    <w:rsid w:val="00F27835"/>
    <w:rsid w:val="00F318B1"/>
    <w:rsid w:val="00F31C31"/>
    <w:rsid w:val="00F3304D"/>
    <w:rsid w:val="00F34187"/>
    <w:rsid w:val="00F3485F"/>
    <w:rsid w:val="00F349D2"/>
    <w:rsid w:val="00F366E3"/>
    <w:rsid w:val="00F3746C"/>
    <w:rsid w:val="00F40BD2"/>
    <w:rsid w:val="00F4154D"/>
    <w:rsid w:val="00F424C9"/>
    <w:rsid w:val="00F43153"/>
    <w:rsid w:val="00F43B48"/>
    <w:rsid w:val="00F4441C"/>
    <w:rsid w:val="00F44AFC"/>
    <w:rsid w:val="00F45023"/>
    <w:rsid w:val="00F45E27"/>
    <w:rsid w:val="00F47F64"/>
    <w:rsid w:val="00F52101"/>
    <w:rsid w:val="00F52DF9"/>
    <w:rsid w:val="00F53E2F"/>
    <w:rsid w:val="00F5477E"/>
    <w:rsid w:val="00F54DC6"/>
    <w:rsid w:val="00F55D64"/>
    <w:rsid w:val="00F57EB1"/>
    <w:rsid w:val="00F60917"/>
    <w:rsid w:val="00F61E38"/>
    <w:rsid w:val="00F627EA"/>
    <w:rsid w:val="00F63260"/>
    <w:rsid w:val="00F6346D"/>
    <w:rsid w:val="00F64186"/>
    <w:rsid w:val="00F6555A"/>
    <w:rsid w:val="00F6603F"/>
    <w:rsid w:val="00F6681B"/>
    <w:rsid w:val="00F67413"/>
    <w:rsid w:val="00F715AD"/>
    <w:rsid w:val="00F71D42"/>
    <w:rsid w:val="00F7303E"/>
    <w:rsid w:val="00F74697"/>
    <w:rsid w:val="00F74CEC"/>
    <w:rsid w:val="00F74D80"/>
    <w:rsid w:val="00F75566"/>
    <w:rsid w:val="00F759D6"/>
    <w:rsid w:val="00F7626C"/>
    <w:rsid w:val="00F77341"/>
    <w:rsid w:val="00F77732"/>
    <w:rsid w:val="00F8068F"/>
    <w:rsid w:val="00F80A32"/>
    <w:rsid w:val="00F80E2E"/>
    <w:rsid w:val="00F814C3"/>
    <w:rsid w:val="00F8261E"/>
    <w:rsid w:val="00F83E7C"/>
    <w:rsid w:val="00F84DC4"/>
    <w:rsid w:val="00F84DF8"/>
    <w:rsid w:val="00F861AA"/>
    <w:rsid w:val="00F86679"/>
    <w:rsid w:val="00F86BA8"/>
    <w:rsid w:val="00F87885"/>
    <w:rsid w:val="00F87B2A"/>
    <w:rsid w:val="00F90139"/>
    <w:rsid w:val="00F9124F"/>
    <w:rsid w:val="00F92707"/>
    <w:rsid w:val="00F927FC"/>
    <w:rsid w:val="00F93459"/>
    <w:rsid w:val="00F954BE"/>
    <w:rsid w:val="00F9611C"/>
    <w:rsid w:val="00F976BF"/>
    <w:rsid w:val="00F97F0A"/>
    <w:rsid w:val="00FA17FA"/>
    <w:rsid w:val="00FA1F03"/>
    <w:rsid w:val="00FA2BA0"/>
    <w:rsid w:val="00FA3B33"/>
    <w:rsid w:val="00FA4242"/>
    <w:rsid w:val="00FA5433"/>
    <w:rsid w:val="00FA5441"/>
    <w:rsid w:val="00FA5AD1"/>
    <w:rsid w:val="00FB32FC"/>
    <w:rsid w:val="00FB374D"/>
    <w:rsid w:val="00FB4222"/>
    <w:rsid w:val="00FB4312"/>
    <w:rsid w:val="00FB4DE8"/>
    <w:rsid w:val="00FB5A03"/>
    <w:rsid w:val="00FB5E69"/>
    <w:rsid w:val="00FB71EE"/>
    <w:rsid w:val="00FB7841"/>
    <w:rsid w:val="00FC0697"/>
    <w:rsid w:val="00FC1007"/>
    <w:rsid w:val="00FC110D"/>
    <w:rsid w:val="00FC1274"/>
    <w:rsid w:val="00FC1547"/>
    <w:rsid w:val="00FC20F0"/>
    <w:rsid w:val="00FC2D30"/>
    <w:rsid w:val="00FC2D4D"/>
    <w:rsid w:val="00FC47E3"/>
    <w:rsid w:val="00FC4C74"/>
    <w:rsid w:val="00FC5808"/>
    <w:rsid w:val="00FD055F"/>
    <w:rsid w:val="00FD12C8"/>
    <w:rsid w:val="00FD1A26"/>
    <w:rsid w:val="00FD20B9"/>
    <w:rsid w:val="00FD34BA"/>
    <w:rsid w:val="00FD3EC6"/>
    <w:rsid w:val="00FD4B2A"/>
    <w:rsid w:val="00FD4D39"/>
    <w:rsid w:val="00FD4DFA"/>
    <w:rsid w:val="00FD4FFB"/>
    <w:rsid w:val="00FD58B8"/>
    <w:rsid w:val="00FD5D8D"/>
    <w:rsid w:val="00FD62C9"/>
    <w:rsid w:val="00FD6317"/>
    <w:rsid w:val="00FD78FC"/>
    <w:rsid w:val="00FE09CE"/>
    <w:rsid w:val="00FE13AD"/>
    <w:rsid w:val="00FE2BEF"/>
    <w:rsid w:val="00FE369B"/>
    <w:rsid w:val="00FE48CF"/>
    <w:rsid w:val="00FE537A"/>
    <w:rsid w:val="00FE64BF"/>
    <w:rsid w:val="00FE6D95"/>
    <w:rsid w:val="00FF072D"/>
    <w:rsid w:val="00FF0B7C"/>
    <w:rsid w:val="00FF0B9A"/>
    <w:rsid w:val="00FF1F89"/>
    <w:rsid w:val="00FF2123"/>
    <w:rsid w:val="00FF462E"/>
    <w:rsid w:val="00FF466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AEBC00"/>
  <w15:docId w15:val="{73950F8C-72D8-4C67-A214-455ABAA72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74B"/>
  </w:style>
  <w:style w:type="paragraph" w:styleId="Heading1">
    <w:name w:val="heading 1"/>
    <w:basedOn w:val="ListParagraph"/>
    <w:next w:val="Normal"/>
    <w:link w:val="Heading1Char"/>
    <w:uiPriority w:val="9"/>
    <w:qFormat/>
    <w:rsid w:val="007570DC"/>
    <w:pPr>
      <w:spacing w:before="120" w:after="120" w:line="240" w:lineRule="auto"/>
      <w:ind w:left="0"/>
      <w:contextualSpacing w:val="0"/>
      <w:jc w:val="both"/>
      <w:outlineLvl w:val="0"/>
    </w:pPr>
    <w:rPr>
      <w:rFonts w:ascii="Times New Roman" w:hAnsi="Times New Roman" w:cs="Times New Roman"/>
      <w:b/>
      <w:color w:val="0070C0"/>
      <w:sz w:val="26"/>
      <w:szCs w:val="26"/>
    </w:rPr>
  </w:style>
  <w:style w:type="paragraph" w:styleId="Heading2">
    <w:name w:val="heading 2"/>
    <w:basedOn w:val="ListParagraph"/>
    <w:next w:val="Normal"/>
    <w:link w:val="Heading2Char"/>
    <w:qFormat/>
    <w:rsid w:val="007570DC"/>
    <w:pPr>
      <w:spacing w:before="120" w:after="120" w:line="240" w:lineRule="auto"/>
      <w:ind w:left="0"/>
      <w:contextualSpacing w:val="0"/>
      <w:jc w:val="both"/>
      <w:outlineLvl w:val="1"/>
    </w:pPr>
    <w:rPr>
      <w:rFonts w:ascii="Times New Roman" w:hAnsi="Times New Roman" w:cs="Times New Roman"/>
      <w:b/>
      <w:color w:val="0070C0"/>
      <w:sz w:val="24"/>
      <w:szCs w:val="24"/>
    </w:rPr>
  </w:style>
  <w:style w:type="paragraph" w:styleId="Heading3">
    <w:name w:val="heading 3"/>
    <w:basedOn w:val="Normal"/>
    <w:next w:val="Normal"/>
    <w:link w:val="Heading3Char"/>
    <w:uiPriority w:val="9"/>
    <w:semiHidden/>
    <w:unhideWhenUsed/>
    <w:qFormat/>
    <w:rsid w:val="00C83120"/>
    <w:pPr>
      <w:keepNext/>
      <w:keepLines/>
      <w:spacing w:before="200" w:after="0"/>
      <w:outlineLvl w:val="2"/>
    </w:pPr>
    <w:rPr>
      <w:rFonts w:asciiTheme="majorHAnsi" w:eastAsiaTheme="majorEastAsia" w:hAnsiTheme="majorHAnsi" w:cstheme="majorBidi"/>
      <w:b/>
      <w:bCs/>
      <w:color w:val="5B9BD5" w:themeColor="accent1"/>
    </w:rPr>
  </w:style>
  <w:style w:type="paragraph" w:styleId="Heading6">
    <w:name w:val="heading 6"/>
    <w:basedOn w:val="Normal"/>
    <w:next w:val="Normal"/>
    <w:link w:val="Heading6Char"/>
    <w:uiPriority w:val="9"/>
    <w:semiHidden/>
    <w:unhideWhenUsed/>
    <w:qFormat/>
    <w:rsid w:val="00635331"/>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57A9"/>
    <w:pPr>
      <w:ind w:left="720"/>
      <w:contextualSpacing/>
    </w:pPr>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
    <w:basedOn w:val="Normal"/>
    <w:link w:val="FootnoteTextChar"/>
    <w:uiPriority w:val="99"/>
    <w:unhideWhenUsed/>
    <w:rsid w:val="002325A3"/>
    <w:pPr>
      <w:spacing w:after="0" w:line="240" w:lineRule="auto"/>
    </w:pPr>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
    <w:basedOn w:val="DefaultParagraphFont"/>
    <w:link w:val="FootnoteText"/>
    <w:uiPriority w:val="99"/>
    <w:rsid w:val="002325A3"/>
    <w:rPr>
      <w:sz w:val="20"/>
      <w:szCs w:val="20"/>
    </w:rPr>
  </w:style>
  <w:style w:type="character" w:styleId="FootnoteReference">
    <w:name w:val="footnote reference"/>
    <w:aliases w:val="Footnote symbol,Appel note de bas de p,SUPERS,Nota,(NECG) Footnote Reference,Voetnootverwijzing,Footnote Reference Superscript,BVI fnr,Lábjegyzet-hivatkozás,L?bjegyzet-hivatkoz?s,Char1 Char Char Char Char,ftref,Fussnot"/>
    <w:basedOn w:val="DefaultParagraphFont"/>
    <w:unhideWhenUsed/>
    <w:rsid w:val="002325A3"/>
    <w:rPr>
      <w:vertAlign w:val="superscript"/>
    </w:rPr>
  </w:style>
  <w:style w:type="paragraph" w:styleId="BalloonText">
    <w:name w:val="Balloon Text"/>
    <w:basedOn w:val="Normal"/>
    <w:link w:val="BalloonTextChar"/>
    <w:uiPriority w:val="99"/>
    <w:semiHidden/>
    <w:unhideWhenUsed/>
    <w:rsid w:val="002D4B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B6A"/>
    <w:rPr>
      <w:rFonts w:ascii="Segoe UI" w:hAnsi="Segoe UI" w:cs="Segoe UI"/>
      <w:sz w:val="18"/>
      <w:szCs w:val="18"/>
    </w:rPr>
  </w:style>
  <w:style w:type="paragraph" w:styleId="Header">
    <w:name w:val="header"/>
    <w:basedOn w:val="Normal"/>
    <w:link w:val="HeaderChar"/>
    <w:uiPriority w:val="99"/>
    <w:unhideWhenUsed/>
    <w:rsid w:val="000553B8"/>
    <w:pPr>
      <w:tabs>
        <w:tab w:val="center" w:pos="4536"/>
        <w:tab w:val="right" w:pos="9072"/>
      </w:tabs>
      <w:spacing w:after="0" w:line="240" w:lineRule="auto"/>
    </w:pPr>
  </w:style>
  <w:style w:type="character" w:customStyle="1" w:styleId="HeaderChar">
    <w:name w:val="Header Char"/>
    <w:basedOn w:val="DefaultParagraphFont"/>
    <w:link w:val="Header"/>
    <w:uiPriority w:val="99"/>
    <w:rsid w:val="000553B8"/>
  </w:style>
  <w:style w:type="paragraph" w:styleId="Footer">
    <w:name w:val="footer"/>
    <w:basedOn w:val="Normal"/>
    <w:link w:val="FooterChar"/>
    <w:uiPriority w:val="99"/>
    <w:unhideWhenUsed/>
    <w:rsid w:val="000553B8"/>
    <w:pPr>
      <w:tabs>
        <w:tab w:val="center" w:pos="4536"/>
        <w:tab w:val="right" w:pos="9072"/>
      </w:tabs>
      <w:spacing w:after="0" w:line="240" w:lineRule="auto"/>
    </w:pPr>
  </w:style>
  <w:style w:type="character" w:customStyle="1" w:styleId="FooterChar">
    <w:name w:val="Footer Char"/>
    <w:basedOn w:val="DefaultParagraphFont"/>
    <w:link w:val="Footer"/>
    <w:uiPriority w:val="99"/>
    <w:rsid w:val="000553B8"/>
  </w:style>
  <w:style w:type="table" w:styleId="TableGrid">
    <w:name w:val="Table Grid"/>
    <w:basedOn w:val="TableNormal"/>
    <w:uiPriority w:val="59"/>
    <w:rsid w:val="00FC0697"/>
    <w:pPr>
      <w:spacing w:after="0" w:line="240" w:lineRule="auto"/>
    </w:pPr>
    <w:rPr>
      <w:rFonts w:ascii="Times New Roman" w:eastAsia="Times New Roman" w:hAnsi="Times New Roman" w:cs="Times New Roman"/>
      <w:sz w:val="20"/>
      <w:szCs w:val="20"/>
      <w:lang w:eastAsia="bg-B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61AB6"/>
    <w:rPr>
      <w:sz w:val="16"/>
      <w:szCs w:val="16"/>
    </w:rPr>
  </w:style>
  <w:style w:type="paragraph" w:styleId="CommentText">
    <w:name w:val="annotation text"/>
    <w:basedOn w:val="Normal"/>
    <w:link w:val="CommentTextChar"/>
    <w:uiPriority w:val="99"/>
    <w:unhideWhenUsed/>
    <w:rsid w:val="00D61AB6"/>
    <w:pPr>
      <w:spacing w:line="240" w:lineRule="auto"/>
    </w:pPr>
    <w:rPr>
      <w:sz w:val="20"/>
      <w:szCs w:val="20"/>
    </w:rPr>
  </w:style>
  <w:style w:type="character" w:customStyle="1" w:styleId="CommentTextChar">
    <w:name w:val="Comment Text Char"/>
    <w:basedOn w:val="DefaultParagraphFont"/>
    <w:link w:val="CommentText"/>
    <w:uiPriority w:val="99"/>
    <w:rsid w:val="00D61AB6"/>
    <w:rPr>
      <w:sz w:val="20"/>
      <w:szCs w:val="20"/>
    </w:rPr>
  </w:style>
  <w:style w:type="paragraph" w:styleId="CommentSubject">
    <w:name w:val="annotation subject"/>
    <w:basedOn w:val="CommentText"/>
    <w:next w:val="CommentText"/>
    <w:link w:val="CommentSubjectChar"/>
    <w:uiPriority w:val="99"/>
    <w:semiHidden/>
    <w:unhideWhenUsed/>
    <w:rsid w:val="00D61AB6"/>
    <w:rPr>
      <w:b/>
      <w:bCs/>
    </w:rPr>
  </w:style>
  <w:style w:type="character" w:customStyle="1" w:styleId="CommentSubjectChar">
    <w:name w:val="Comment Subject Char"/>
    <w:basedOn w:val="CommentTextChar"/>
    <w:link w:val="CommentSubject"/>
    <w:uiPriority w:val="99"/>
    <w:semiHidden/>
    <w:rsid w:val="00D61AB6"/>
    <w:rPr>
      <w:b/>
      <w:bCs/>
      <w:sz w:val="20"/>
      <w:szCs w:val="20"/>
    </w:rPr>
  </w:style>
  <w:style w:type="paragraph" w:styleId="TOC6">
    <w:name w:val="toc 6"/>
    <w:basedOn w:val="Normal"/>
    <w:next w:val="Normal"/>
    <w:autoRedefine/>
    <w:uiPriority w:val="39"/>
    <w:rsid w:val="00B81848"/>
    <w:pPr>
      <w:spacing w:after="0"/>
      <w:ind w:left="1100"/>
    </w:pPr>
    <w:rPr>
      <w:sz w:val="20"/>
      <w:szCs w:val="20"/>
    </w:rPr>
  </w:style>
  <w:style w:type="paragraph" w:customStyle="1" w:styleId="TableContents">
    <w:name w:val="Table Contents"/>
    <w:basedOn w:val="BodyText"/>
    <w:rsid w:val="00B81848"/>
    <w:pPr>
      <w:widowControl w:val="0"/>
      <w:suppressLineNumbers/>
      <w:suppressAutoHyphens/>
      <w:spacing w:before="100" w:beforeAutospacing="1" w:after="100" w:afterAutospacing="1" w:line="240" w:lineRule="auto"/>
    </w:pPr>
    <w:rPr>
      <w:rFonts w:ascii="Times New Roman" w:eastAsia="HG Mincho Light J" w:hAnsi="Times New Roman" w:cs="Times New Roman"/>
      <w:color w:val="000000"/>
      <w:sz w:val="24"/>
      <w:szCs w:val="24"/>
      <w:lang w:val="en-US" w:eastAsia="bg-BG"/>
    </w:rPr>
  </w:style>
  <w:style w:type="paragraph" w:customStyle="1" w:styleId="Index">
    <w:name w:val="Index"/>
    <w:basedOn w:val="Normal"/>
    <w:rsid w:val="00B81848"/>
    <w:pPr>
      <w:widowControl w:val="0"/>
      <w:suppressLineNumbers/>
      <w:suppressAutoHyphens/>
      <w:spacing w:after="0" w:line="240" w:lineRule="auto"/>
    </w:pPr>
    <w:rPr>
      <w:rFonts w:ascii="Times New Roman" w:eastAsia="HG Mincho Light J" w:hAnsi="Times New Roman" w:cs="Times New Roman"/>
      <w:color w:val="000000"/>
      <w:sz w:val="24"/>
      <w:szCs w:val="20"/>
      <w:lang w:val="en-US" w:eastAsia="bg-BG"/>
    </w:rPr>
  </w:style>
  <w:style w:type="character" w:styleId="Strong">
    <w:name w:val="Strong"/>
    <w:qFormat/>
    <w:rsid w:val="00B81848"/>
    <w:rPr>
      <w:b/>
      <w:bCs/>
    </w:rPr>
  </w:style>
  <w:style w:type="paragraph" w:customStyle="1" w:styleId="tableheading">
    <w:name w:val="tableheading"/>
    <w:basedOn w:val="Normal"/>
    <w:rsid w:val="00B8184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customStyle="1" w:styleId="tablecontents0">
    <w:name w:val="tablecontents"/>
    <w:basedOn w:val="Normal"/>
    <w:rsid w:val="00B8184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odyText">
    <w:name w:val="Body Text"/>
    <w:basedOn w:val="Normal"/>
    <w:link w:val="BodyTextChar"/>
    <w:uiPriority w:val="99"/>
    <w:semiHidden/>
    <w:unhideWhenUsed/>
    <w:rsid w:val="00B81848"/>
    <w:pPr>
      <w:spacing w:after="120"/>
    </w:pPr>
  </w:style>
  <w:style w:type="character" w:customStyle="1" w:styleId="BodyTextChar">
    <w:name w:val="Body Text Char"/>
    <w:basedOn w:val="DefaultParagraphFont"/>
    <w:link w:val="BodyText"/>
    <w:uiPriority w:val="99"/>
    <w:semiHidden/>
    <w:rsid w:val="00B81848"/>
  </w:style>
  <w:style w:type="paragraph" w:styleId="Title">
    <w:name w:val="Title"/>
    <w:basedOn w:val="Normal"/>
    <w:next w:val="Normal"/>
    <w:link w:val="TitleChar"/>
    <w:qFormat/>
    <w:rsid w:val="00E50B69"/>
    <w:pPr>
      <w:spacing w:after="480" w:line="240" w:lineRule="auto"/>
      <w:jc w:val="center"/>
    </w:pPr>
    <w:rPr>
      <w:rFonts w:ascii="Times New Roman" w:eastAsia="Times New Roman" w:hAnsi="Times New Roman" w:cs="Times New Roman"/>
      <w:b/>
      <w:snapToGrid w:val="0"/>
      <w:sz w:val="48"/>
      <w:szCs w:val="20"/>
      <w:lang w:val="en-GB"/>
    </w:rPr>
  </w:style>
  <w:style w:type="character" w:customStyle="1" w:styleId="TitleChar">
    <w:name w:val="Title Char"/>
    <w:basedOn w:val="DefaultParagraphFont"/>
    <w:link w:val="Title"/>
    <w:rsid w:val="00E50B69"/>
    <w:rPr>
      <w:rFonts w:ascii="Times New Roman" w:eastAsia="Times New Roman" w:hAnsi="Times New Roman" w:cs="Times New Roman"/>
      <w:b/>
      <w:snapToGrid w:val="0"/>
      <w:sz w:val="48"/>
      <w:szCs w:val="20"/>
      <w:lang w:val="en-GB"/>
    </w:rPr>
  </w:style>
  <w:style w:type="character" w:customStyle="1" w:styleId="Heading2Char">
    <w:name w:val="Heading 2 Char"/>
    <w:basedOn w:val="DefaultParagraphFont"/>
    <w:link w:val="Heading2"/>
    <w:rsid w:val="007570DC"/>
    <w:rPr>
      <w:rFonts w:ascii="Times New Roman" w:hAnsi="Times New Roman" w:cs="Times New Roman"/>
      <w:b/>
      <w:color w:val="0070C0"/>
      <w:sz w:val="24"/>
      <w:szCs w:val="24"/>
    </w:rPr>
  </w:style>
  <w:style w:type="paragraph" w:customStyle="1" w:styleId="Guidelines1">
    <w:name w:val="Guidelines 1"/>
    <w:basedOn w:val="TOC1"/>
    <w:rsid w:val="002624D0"/>
    <w:pPr>
      <w:pageBreakBefore/>
      <w:tabs>
        <w:tab w:val="left" w:pos="180"/>
        <w:tab w:val="right" w:leader="dot" w:pos="9900"/>
      </w:tabs>
      <w:spacing w:after="480" w:line="240" w:lineRule="auto"/>
      <w:ind w:left="488" w:right="381" w:hanging="488"/>
      <w:jc w:val="both"/>
    </w:pPr>
    <w:rPr>
      <w:rFonts w:ascii="Times New Roman" w:eastAsia="Times New Roman" w:hAnsi="Times New Roman" w:cs="Times New Roman"/>
      <w:b w:val="0"/>
      <w:caps/>
      <w:noProof/>
      <w:snapToGrid w:val="0"/>
      <w:lang w:val="en-GB"/>
    </w:rPr>
  </w:style>
  <w:style w:type="paragraph" w:customStyle="1" w:styleId="CM1">
    <w:name w:val="CM1"/>
    <w:basedOn w:val="Normal"/>
    <w:next w:val="Normal"/>
    <w:rsid w:val="002624D0"/>
    <w:pPr>
      <w:autoSpaceDE w:val="0"/>
      <w:autoSpaceDN w:val="0"/>
      <w:adjustRightInd w:val="0"/>
      <w:spacing w:after="0" w:line="240" w:lineRule="auto"/>
    </w:pPr>
    <w:rPr>
      <w:rFonts w:ascii="EUAlbertina" w:eastAsia="Times New Roman" w:hAnsi="EUAlbertina" w:cs="Times New Roman"/>
      <w:sz w:val="24"/>
      <w:szCs w:val="24"/>
      <w:lang w:eastAsia="bg-BG"/>
    </w:rPr>
  </w:style>
  <w:style w:type="paragraph" w:customStyle="1" w:styleId="CM4">
    <w:name w:val="CM4"/>
    <w:basedOn w:val="Normal"/>
    <w:next w:val="Normal"/>
    <w:rsid w:val="002624D0"/>
    <w:pPr>
      <w:autoSpaceDE w:val="0"/>
      <w:autoSpaceDN w:val="0"/>
      <w:adjustRightInd w:val="0"/>
      <w:spacing w:after="0" w:line="240" w:lineRule="auto"/>
    </w:pPr>
    <w:rPr>
      <w:rFonts w:ascii="EUAlbertina" w:eastAsia="Times New Roman" w:hAnsi="EUAlbertina" w:cs="Times New Roman"/>
      <w:sz w:val="24"/>
      <w:szCs w:val="24"/>
      <w:lang w:eastAsia="bg-BG"/>
    </w:rPr>
  </w:style>
  <w:style w:type="paragraph" w:styleId="TOC1">
    <w:name w:val="toc 1"/>
    <w:basedOn w:val="Normal"/>
    <w:next w:val="Normal"/>
    <w:autoRedefine/>
    <w:uiPriority w:val="39"/>
    <w:unhideWhenUsed/>
    <w:qFormat/>
    <w:rsid w:val="00355CDE"/>
    <w:pPr>
      <w:tabs>
        <w:tab w:val="right" w:leader="dot" w:pos="9346"/>
      </w:tabs>
      <w:spacing w:before="120" w:after="0"/>
    </w:pPr>
    <w:rPr>
      <w:b/>
      <w:bCs/>
      <w:sz w:val="24"/>
      <w:szCs w:val="24"/>
    </w:rPr>
  </w:style>
  <w:style w:type="character" w:customStyle="1" w:styleId="Heading1Char">
    <w:name w:val="Heading 1 Char"/>
    <w:basedOn w:val="DefaultParagraphFont"/>
    <w:link w:val="Heading1"/>
    <w:uiPriority w:val="9"/>
    <w:rsid w:val="007570DC"/>
    <w:rPr>
      <w:rFonts w:ascii="Times New Roman" w:hAnsi="Times New Roman" w:cs="Times New Roman"/>
      <w:b/>
      <w:color w:val="0070C0"/>
      <w:sz w:val="26"/>
      <w:szCs w:val="26"/>
    </w:rPr>
  </w:style>
  <w:style w:type="paragraph" w:styleId="TOCHeading">
    <w:name w:val="TOC Heading"/>
    <w:basedOn w:val="Heading1"/>
    <w:next w:val="Normal"/>
    <w:uiPriority w:val="39"/>
    <w:unhideWhenUsed/>
    <w:qFormat/>
    <w:rsid w:val="00EA3F19"/>
    <w:pPr>
      <w:spacing w:line="276" w:lineRule="auto"/>
      <w:outlineLvl w:val="9"/>
    </w:pPr>
    <w:rPr>
      <w:lang w:eastAsia="bg-BG"/>
    </w:rPr>
  </w:style>
  <w:style w:type="paragraph" w:styleId="TOC2">
    <w:name w:val="toc 2"/>
    <w:basedOn w:val="Normal"/>
    <w:next w:val="Normal"/>
    <w:autoRedefine/>
    <w:uiPriority w:val="39"/>
    <w:unhideWhenUsed/>
    <w:qFormat/>
    <w:rsid w:val="002953B4"/>
    <w:pPr>
      <w:tabs>
        <w:tab w:val="right" w:leader="dot" w:pos="9346"/>
      </w:tabs>
      <w:spacing w:after="0"/>
      <w:ind w:left="220"/>
    </w:pPr>
    <w:rPr>
      <w:b/>
      <w:bCs/>
    </w:rPr>
  </w:style>
  <w:style w:type="character" w:styleId="Hyperlink">
    <w:name w:val="Hyperlink"/>
    <w:basedOn w:val="DefaultParagraphFont"/>
    <w:uiPriority w:val="99"/>
    <w:unhideWhenUsed/>
    <w:rsid w:val="00EA3F19"/>
    <w:rPr>
      <w:color w:val="0563C1" w:themeColor="hyperlink"/>
      <w:u w:val="single"/>
    </w:rPr>
  </w:style>
  <w:style w:type="paragraph" w:styleId="TOC3">
    <w:name w:val="toc 3"/>
    <w:basedOn w:val="Normal"/>
    <w:next w:val="Normal"/>
    <w:autoRedefine/>
    <w:uiPriority w:val="39"/>
    <w:unhideWhenUsed/>
    <w:qFormat/>
    <w:rsid w:val="00EA3F19"/>
    <w:pPr>
      <w:spacing w:after="0"/>
      <w:ind w:left="440"/>
    </w:pPr>
  </w:style>
  <w:style w:type="paragraph" w:styleId="TOC4">
    <w:name w:val="toc 4"/>
    <w:basedOn w:val="Normal"/>
    <w:next w:val="Normal"/>
    <w:autoRedefine/>
    <w:uiPriority w:val="39"/>
    <w:unhideWhenUsed/>
    <w:rsid w:val="00EA3F19"/>
    <w:pPr>
      <w:spacing w:after="0"/>
      <w:ind w:left="660"/>
    </w:pPr>
    <w:rPr>
      <w:sz w:val="20"/>
      <w:szCs w:val="20"/>
    </w:rPr>
  </w:style>
  <w:style w:type="paragraph" w:styleId="TOC5">
    <w:name w:val="toc 5"/>
    <w:basedOn w:val="Normal"/>
    <w:next w:val="Normal"/>
    <w:autoRedefine/>
    <w:uiPriority w:val="39"/>
    <w:unhideWhenUsed/>
    <w:rsid w:val="00EA3F19"/>
    <w:pPr>
      <w:spacing w:after="0"/>
      <w:ind w:left="880"/>
    </w:pPr>
    <w:rPr>
      <w:sz w:val="20"/>
      <w:szCs w:val="20"/>
    </w:rPr>
  </w:style>
  <w:style w:type="paragraph" w:styleId="TOC7">
    <w:name w:val="toc 7"/>
    <w:basedOn w:val="Normal"/>
    <w:next w:val="Normal"/>
    <w:autoRedefine/>
    <w:uiPriority w:val="39"/>
    <w:unhideWhenUsed/>
    <w:rsid w:val="00EA3F19"/>
    <w:pPr>
      <w:spacing w:after="0"/>
      <w:ind w:left="1320"/>
    </w:pPr>
    <w:rPr>
      <w:sz w:val="20"/>
      <w:szCs w:val="20"/>
    </w:rPr>
  </w:style>
  <w:style w:type="paragraph" w:styleId="TOC8">
    <w:name w:val="toc 8"/>
    <w:basedOn w:val="Normal"/>
    <w:next w:val="Normal"/>
    <w:autoRedefine/>
    <w:uiPriority w:val="39"/>
    <w:unhideWhenUsed/>
    <w:rsid w:val="00EA3F19"/>
    <w:pPr>
      <w:spacing w:after="0"/>
      <w:ind w:left="1540"/>
    </w:pPr>
    <w:rPr>
      <w:sz w:val="20"/>
      <w:szCs w:val="20"/>
    </w:rPr>
  </w:style>
  <w:style w:type="paragraph" w:styleId="TOC9">
    <w:name w:val="toc 9"/>
    <w:basedOn w:val="Normal"/>
    <w:next w:val="Normal"/>
    <w:autoRedefine/>
    <w:uiPriority w:val="39"/>
    <w:unhideWhenUsed/>
    <w:rsid w:val="00EA3F19"/>
    <w:pPr>
      <w:spacing w:after="0"/>
      <w:ind w:left="1760"/>
    </w:pPr>
    <w:rPr>
      <w:sz w:val="20"/>
      <w:szCs w:val="20"/>
    </w:rPr>
  </w:style>
  <w:style w:type="paragraph" w:customStyle="1" w:styleId="Text1">
    <w:name w:val="Text 1"/>
    <w:basedOn w:val="Normal"/>
    <w:rsid w:val="00C871C6"/>
    <w:pPr>
      <w:spacing w:after="240" w:line="240" w:lineRule="auto"/>
      <w:ind w:left="482"/>
      <w:jc w:val="both"/>
    </w:pPr>
    <w:rPr>
      <w:rFonts w:ascii="Times New Roman" w:eastAsia="Times New Roman" w:hAnsi="Times New Roman" w:cs="Times New Roman"/>
      <w:snapToGrid w:val="0"/>
      <w:sz w:val="24"/>
      <w:szCs w:val="20"/>
      <w:lang w:val="en-GB"/>
    </w:rPr>
  </w:style>
  <w:style w:type="paragraph" w:customStyle="1" w:styleId="Default">
    <w:name w:val="Default"/>
    <w:rsid w:val="00A8656C"/>
    <w:pPr>
      <w:autoSpaceDE w:val="0"/>
      <w:autoSpaceDN w:val="0"/>
      <w:adjustRightInd w:val="0"/>
      <w:spacing w:after="0" w:line="240" w:lineRule="auto"/>
    </w:pPr>
    <w:rPr>
      <w:rFonts w:ascii="Times New Roman" w:eastAsia="Times New Roman" w:hAnsi="Times New Roman" w:cs="Times New Roman"/>
      <w:color w:val="000000"/>
      <w:sz w:val="24"/>
      <w:szCs w:val="24"/>
      <w:lang w:eastAsia="bg-BG"/>
    </w:rPr>
  </w:style>
  <w:style w:type="paragraph" w:styleId="NormalWeb">
    <w:name w:val="Normal (Web)"/>
    <w:basedOn w:val="Normal"/>
    <w:rsid w:val="00B174FC"/>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Heading6Char">
    <w:name w:val="Heading 6 Char"/>
    <w:basedOn w:val="DefaultParagraphFont"/>
    <w:link w:val="Heading6"/>
    <w:uiPriority w:val="9"/>
    <w:semiHidden/>
    <w:rsid w:val="00635331"/>
    <w:rPr>
      <w:rFonts w:asciiTheme="majorHAnsi" w:eastAsiaTheme="majorEastAsia" w:hAnsiTheme="majorHAnsi" w:cstheme="majorBidi"/>
      <w:i/>
      <w:iCs/>
      <w:color w:val="1F4D78" w:themeColor="accent1" w:themeShade="7F"/>
    </w:rPr>
  </w:style>
  <w:style w:type="paragraph" w:styleId="BodyText3">
    <w:name w:val="Body Text 3"/>
    <w:basedOn w:val="Normal"/>
    <w:link w:val="BodyText3Char"/>
    <w:uiPriority w:val="99"/>
    <w:unhideWhenUsed/>
    <w:rsid w:val="00635331"/>
    <w:pPr>
      <w:spacing w:after="120"/>
    </w:pPr>
    <w:rPr>
      <w:sz w:val="16"/>
      <w:szCs w:val="16"/>
    </w:rPr>
  </w:style>
  <w:style w:type="character" w:customStyle="1" w:styleId="BodyText3Char">
    <w:name w:val="Body Text 3 Char"/>
    <w:basedOn w:val="DefaultParagraphFont"/>
    <w:link w:val="BodyText3"/>
    <w:uiPriority w:val="99"/>
    <w:rsid w:val="00635331"/>
    <w:rPr>
      <w:sz w:val="16"/>
      <w:szCs w:val="16"/>
    </w:rPr>
  </w:style>
  <w:style w:type="paragraph" w:styleId="ListBullet">
    <w:name w:val="List Bullet"/>
    <w:basedOn w:val="Normal"/>
    <w:autoRedefine/>
    <w:rsid w:val="00786BEA"/>
    <w:pPr>
      <w:tabs>
        <w:tab w:val="left" w:pos="360"/>
      </w:tabs>
      <w:spacing w:after="0" w:line="240" w:lineRule="auto"/>
      <w:jc w:val="both"/>
    </w:pPr>
    <w:rPr>
      <w:rFonts w:ascii="Times New Roman" w:eastAsia="Times New Roman" w:hAnsi="Times New Roman" w:cs="Times New Roman"/>
      <w:sz w:val="24"/>
      <w:szCs w:val="20"/>
      <w:lang w:val="en-GB" w:eastAsia="en-GB"/>
    </w:rPr>
  </w:style>
  <w:style w:type="paragraph" w:customStyle="1" w:styleId="GfAheading1">
    <w:name w:val="GfA heading 1"/>
    <w:basedOn w:val="Normal"/>
    <w:rsid w:val="00C6489D"/>
    <w:pPr>
      <w:numPr>
        <w:numId w:val="2"/>
      </w:numPr>
      <w:spacing w:after="0" w:line="240" w:lineRule="auto"/>
    </w:pPr>
    <w:rPr>
      <w:rFonts w:ascii="Times New Roman" w:eastAsia="Times New Roman" w:hAnsi="Times New Roman" w:cs="Times New Roman"/>
      <w:b/>
      <w:snapToGrid w:val="0"/>
      <w:sz w:val="24"/>
      <w:szCs w:val="24"/>
    </w:rPr>
  </w:style>
  <w:style w:type="paragraph" w:customStyle="1" w:styleId="Guidelines2">
    <w:name w:val="Guidelines 2"/>
    <w:basedOn w:val="Normal"/>
    <w:rsid w:val="00F059A2"/>
    <w:pPr>
      <w:spacing w:before="240" w:after="240" w:line="240" w:lineRule="auto"/>
      <w:jc w:val="both"/>
    </w:pPr>
    <w:rPr>
      <w:rFonts w:ascii="Times New Roman" w:eastAsia="Times New Roman" w:hAnsi="Times New Roman" w:cs="Times New Roman"/>
      <w:b/>
      <w:smallCaps/>
      <w:snapToGrid w:val="0"/>
      <w:sz w:val="24"/>
      <w:szCs w:val="20"/>
      <w:lang w:val="en-GB"/>
    </w:rPr>
  </w:style>
  <w:style w:type="paragraph" w:customStyle="1" w:styleId="firstline">
    <w:name w:val="firstline"/>
    <w:basedOn w:val="Normal"/>
    <w:rsid w:val="00D00F5E"/>
    <w:pPr>
      <w:spacing w:after="0" w:line="240" w:lineRule="atLeast"/>
      <w:ind w:firstLine="640"/>
      <w:jc w:val="both"/>
    </w:pPr>
    <w:rPr>
      <w:rFonts w:ascii="Times New Roman" w:eastAsia="Times New Roman" w:hAnsi="Times New Roman" w:cs="Times New Roman"/>
      <w:color w:val="000000"/>
      <w:sz w:val="24"/>
      <w:szCs w:val="24"/>
      <w:lang w:eastAsia="bg-BG"/>
    </w:rPr>
  </w:style>
  <w:style w:type="character" w:customStyle="1" w:styleId="ldef">
    <w:name w:val="ldef"/>
    <w:basedOn w:val="DefaultParagraphFont"/>
    <w:rsid w:val="00D00F5E"/>
  </w:style>
  <w:style w:type="paragraph" w:customStyle="1" w:styleId="BodyText21">
    <w:name w:val="Body Text 21"/>
    <w:basedOn w:val="Normal"/>
    <w:rsid w:val="004B21A5"/>
    <w:pPr>
      <w:spacing w:after="0" w:line="240" w:lineRule="auto"/>
    </w:pPr>
    <w:rPr>
      <w:rFonts w:ascii="Times New Roman" w:eastAsia="Times New Roman" w:hAnsi="Times New Roman" w:cs="Times New Roman"/>
      <w:snapToGrid w:val="0"/>
      <w:szCs w:val="20"/>
      <w:lang w:eastAsia="bg-BG"/>
    </w:rPr>
  </w:style>
  <w:style w:type="paragraph" w:customStyle="1" w:styleId="Clause">
    <w:name w:val="Clause"/>
    <w:basedOn w:val="Normal"/>
    <w:autoRedefine/>
    <w:rsid w:val="00D67E90"/>
    <w:pPr>
      <w:numPr>
        <w:numId w:val="6"/>
      </w:numPr>
      <w:spacing w:after="120" w:line="240" w:lineRule="auto"/>
      <w:jc w:val="both"/>
    </w:pPr>
    <w:rPr>
      <w:rFonts w:ascii="Times New Roman" w:eastAsia="Times New Roman" w:hAnsi="Times New Roman" w:cs="Times New Roman"/>
      <w:snapToGrid w:val="0"/>
      <w:sz w:val="24"/>
      <w:szCs w:val="24"/>
    </w:rPr>
  </w:style>
  <w:style w:type="character" w:customStyle="1" w:styleId="Heading3Char">
    <w:name w:val="Heading 3 Char"/>
    <w:basedOn w:val="DefaultParagraphFont"/>
    <w:link w:val="Heading3"/>
    <w:uiPriority w:val="9"/>
    <w:semiHidden/>
    <w:rsid w:val="00C83120"/>
    <w:rPr>
      <w:rFonts w:asciiTheme="majorHAnsi" w:eastAsiaTheme="majorEastAsia" w:hAnsiTheme="majorHAnsi" w:cstheme="majorBidi"/>
      <w:b/>
      <w:bCs/>
      <w:color w:val="5B9BD5" w:themeColor="accent1"/>
    </w:rPr>
  </w:style>
  <w:style w:type="paragraph" w:styleId="Revision">
    <w:name w:val="Revision"/>
    <w:hidden/>
    <w:uiPriority w:val="99"/>
    <w:semiHidden/>
    <w:rsid w:val="00462B4A"/>
    <w:pPr>
      <w:spacing w:after="0" w:line="240" w:lineRule="auto"/>
    </w:pPr>
  </w:style>
  <w:style w:type="character" w:styleId="FollowedHyperlink">
    <w:name w:val="FollowedHyperlink"/>
    <w:basedOn w:val="DefaultParagraphFont"/>
    <w:uiPriority w:val="99"/>
    <w:semiHidden/>
    <w:unhideWhenUsed/>
    <w:rsid w:val="008378DE"/>
    <w:rPr>
      <w:color w:val="954F72" w:themeColor="followedHyperlink"/>
      <w:u w:val="single"/>
    </w:rPr>
  </w:style>
  <w:style w:type="paragraph" w:styleId="EndnoteText">
    <w:name w:val="endnote text"/>
    <w:basedOn w:val="Normal"/>
    <w:link w:val="EndnoteTextChar"/>
    <w:rsid w:val="009D2FBF"/>
    <w:pPr>
      <w:spacing w:after="0" w:line="240" w:lineRule="auto"/>
    </w:pPr>
    <w:rPr>
      <w:rFonts w:ascii="Times New Roman" w:eastAsia="Times New Roman" w:hAnsi="Times New Roman" w:cs="Times New Roman"/>
      <w:sz w:val="20"/>
      <w:szCs w:val="20"/>
      <w:lang w:eastAsia="bg-BG"/>
    </w:rPr>
  </w:style>
  <w:style w:type="character" w:customStyle="1" w:styleId="EndnoteTextChar">
    <w:name w:val="Endnote Text Char"/>
    <w:basedOn w:val="DefaultParagraphFont"/>
    <w:link w:val="EndnoteText"/>
    <w:rsid w:val="009D2FBF"/>
    <w:rPr>
      <w:rFonts w:ascii="Times New Roman" w:eastAsia="Times New Roman" w:hAnsi="Times New Roman" w:cs="Times New Roman"/>
      <w:sz w:val="20"/>
      <w:szCs w:val="20"/>
      <w:lang w:eastAsia="bg-BG"/>
    </w:rPr>
  </w:style>
  <w:style w:type="character" w:customStyle="1" w:styleId="apple-converted-space">
    <w:name w:val="apple-converted-space"/>
    <w:basedOn w:val="DefaultParagraphFont"/>
    <w:rsid w:val="0088472B"/>
  </w:style>
  <w:style w:type="table" w:customStyle="1" w:styleId="TableGrid1">
    <w:name w:val="Table Grid1"/>
    <w:basedOn w:val="TableNormal"/>
    <w:next w:val="TableGrid"/>
    <w:uiPriority w:val="59"/>
    <w:rsid w:val="001C73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A043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Мрежа в таблица2"/>
    <w:basedOn w:val="TableNormal"/>
    <w:next w:val="TableGrid"/>
    <w:uiPriority w:val="59"/>
    <w:rsid w:val="00F83E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Мрежа в таблица1"/>
    <w:basedOn w:val="TableNormal"/>
    <w:next w:val="TableGrid"/>
    <w:uiPriority w:val="59"/>
    <w:rsid w:val="00F83E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314219">
      <w:bodyDiv w:val="1"/>
      <w:marLeft w:val="0"/>
      <w:marRight w:val="0"/>
      <w:marTop w:val="0"/>
      <w:marBottom w:val="0"/>
      <w:divBdr>
        <w:top w:val="none" w:sz="0" w:space="0" w:color="auto"/>
        <w:left w:val="none" w:sz="0" w:space="0" w:color="auto"/>
        <w:bottom w:val="none" w:sz="0" w:space="0" w:color="auto"/>
        <w:right w:val="none" w:sz="0" w:space="0" w:color="auto"/>
      </w:divBdr>
      <w:divsChild>
        <w:div w:id="903026133">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722407753">
      <w:bodyDiv w:val="1"/>
      <w:marLeft w:val="0"/>
      <w:marRight w:val="0"/>
      <w:marTop w:val="0"/>
      <w:marBottom w:val="0"/>
      <w:divBdr>
        <w:top w:val="none" w:sz="0" w:space="0" w:color="auto"/>
        <w:left w:val="none" w:sz="0" w:space="0" w:color="auto"/>
        <w:bottom w:val="none" w:sz="0" w:space="0" w:color="auto"/>
        <w:right w:val="none" w:sz="0" w:space="0" w:color="auto"/>
      </w:divBdr>
    </w:div>
    <w:div w:id="816072085">
      <w:bodyDiv w:val="1"/>
      <w:marLeft w:val="0"/>
      <w:marRight w:val="0"/>
      <w:marTop w:val="0"/>
      <w:marBottom w:val="0"/>
      <w:divBdr>
        <w:top w:val="none" w:sz="0" w:space="0" w:color="auto"/>
        <w:left w:val="none" w:sz="0" w:space="0" w:color="auto"/>
        <w:bottom w:val="none" w:sz="0" w:space="0" w:color="auto"/>
        <w:right w:val="none" w:sz="0" w:space="0" w:color="auto"/>
      </w:divBdr>
    </w:div>
    <w:div w:id="184296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apis://Base=NARH&amp;DocCode=40006&amp;Type=201/" TargetMode="External"/><Relationship Id="rId18" Type="http://schemas.openxmlformats.org/officeDocument/2006/relationships/hyperlink" Target="apis://Base=APEV&amp;CELEX=32013R1306&amp;ToPar=Art2_Par2&amp;Type=201/" TargetMode="External"/><Relationship Id="rId26" Type="http://schemas.openxmlformats.org/officeDocument/2006/relationships/hyperlink" Target="https://eumis2020.government.bg/bg/s/Home/Manual" TargetMode="External"/><Relationship Id="rId3" Type="http://schemas.openxmlformats.org/officeDocument/2006/relationships/styles" Target="styles.xml"/><Relationship Id="rId21" Type="http://schemas.openxmlformats.org/officeDocument/2006/relationships/hyperlink" Target="apis://Base=NARH&amp;DocCode=86925&amp;Type=201/" TargetMode="External"/><Relationship Id="rId7" Type="http://schemas.openxmlformats.org/officeDocument/2006/relationships/endnotes" Target="endnotes.xml"/><Relationship Id="rId12" Type="http://schemas.openxmlformats.org/officeDocument/2006/relationships/hyperlink" Target="apis://Base=APEV&amp;CELEX=32013R1306&amp;ToPar=Art60&amp;Type=201/" TargetMode="External"/><Relationship Id="rId17" Type="http://schemas.openxmlformats.org/officeDocument/2006/relationships/hyperlink" Target="apis://Base=NARH&amp;DocCode=41765&amp;Type=201/" TargetMode="External"/><Relationship Id="rId25" Type="http://schemas.openxmlformats.org/officeDocument/2006/relationships/hyperlink" Target="https://eumis2020.government.bg/"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apis://Base=NARH&amp;DocCode=41765&amp;ToPar=Art6&amp;Type=201/" TargetMode="External"/><Relationship Id="rId20" Type="http://schemas.openxmlformats.org/officeDocument/2006/relationships/hyperlink" Target="apis://Base=APEV&amp;CELEX=32014R0809&amp;Type=201/" TargetMode="External"/><Relationship Id="rId29" Type="http://schemas.openxmlformats.org/officeDocument/2006/relationships/hyperlink" Target="http://mig-pomorie.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pis://Base=APEV&amp;CELEX=32013R1306&amp;Type=201" TargetMode="External"/><Relationship Id="rId24" Type="http://schemas.openxmlformats.org/officeDocument/2006/relationships/hyperlink" Target="http://eumis2020.government.bg/"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apis://Base=NARH&amp;DocCode=41765&amp;ToPar=Art5&amp;Type=201/" TargetMode="External"/><Relationship Id="rId23" Type="http://schemas.openxmlformats.org/officeDocument/2006/relationships/hyperlink" Target="https://www.youtube.com/watch?v=x6T0AavwC68" TargetMode="External"/><Relationship Id="rId28" Type="http://schemas.openxmlformats.org/officeDocument/2006/relationships/hyperlink" Target="mailto:office@mig-pomorie.eu" TargetMode="External"/><Relationship Id="rId10" Type="http://schemas.openxmlformats.org/officeDocument/2006/relationships/hyperlink" Target="apis://Base=APEV&amp;CELEX=32014R0809&amp;ToPar=Art48&amp;Type=201/" TargetMode="External"/><Relationship Id="rId19" Type="http://schemas.openxmlformats.org/officeDocument/2006/relationships/hyperlink" Target="apis://Base=NARH&amp;DocCode=4499&amp;ToPar=Art2_Al1&amp;Type=201/"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apis://Base=APEV&amp;CELEX=32005R1698&amp;Type=201/" TargetMode="External"/><Relationship Id="rId14" Type="http://schemas.openxmlformats.org/officeDocument/2006/relationships/hyperlink" Target="apis://Base=NARH&amp;DocCode=85477&amp;Type=201/" TargetMode="External"/><Relationship Id="rId22" Type="http://schemas.openxmlformats.org/officeDocument/2006/relationships/hyperlink" Target="http://www.mig-pomorie.eu" TargetMode="External"/><Relationship Id="rId27" Type="http://schemas.openxmlformats.org/officeDocument/2006/relationships/hyperlink" Target="https://eumis2020.government.bg." TargetMode="External"/><Relationship Id="rId30" Type="http://schemas.openxmlformats.org/officeDocument/2006/relationships/header" Target="header1.xml"/><Relationship Id="rId8" Type="http://schemas.openxmlformats.org/officeDocument/2006/relationships/hyperlink" Target="apis://Base=APEV&amp;CELEX=32013R1305&amp;ToPar=Art63&amp;Type=20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2FC34-D880-485E-A6A2-4445BB2F3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50</Pages>
  <Words>15418</Words>
  <Characters>87889</Characters>
  <Application>Microsoft Office Word</Application>
  <DocSecurity>0</DocSecurity>
  <Lines>732</Lines>
  <Paragraphs>206</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Grizli777</Company>
  <LinksUpToDate>false</LinksUpToDate>
  <CharactersWithSpaces>103101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Fujitsu</dc:creator>
  <cp:lastModifiedBy>user</cp:lastModifiedBy>
  <cp:revision>49</cp:revision>
  <cp:lastPrinted>2018-10-04T12:10:00Z</cp:lastPrinted>
  <dcterms:created xsi:type="dcterms:W3CDTF">2022-04-04T09:15:00Z</dcterms:created>
  <dcterms:modified xsi:type="dcterms:W3CDTF">2022-09-23T09:30:00Z</dcterms:modified>
</cp:coreProperties>
</file>