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296D9" w14:textId="77777777" w:rsidR="00E50B69" w:rsidRPr="009701E7" w:rsidRDefault="00E50B69" w:rsidP="00132E8E">
      <w:pPr>
        <w:jc w:val="center"/>
        <w:rPr>
          <w:rFonts w:ascii="Times New Roman" w:hAnsi="Times New Roman" w:cs="Times New Roman"/>
          <w:b/>
          <w:sz w:val="24"/>
          <w:szCs w:val="24"/>
        </w:rPr>
      </w:pPr>
    </w:p>
    <w:p w14:paraId="7121C7D7" w14:textId="77777777" w:rsidR="00132E8E" w:rsidRPr="00FD78FC" w:rsidRDefault="00132E8E" w:rsidP="00132E8E">
      <w:pPr>
        <w:jc w:val="center"/>
        <w:rPr>
          <w:rFonts w:ascii="Times New Roman" w:hAnsi="Times New Roman" w:cs="Times New Roman"/>
          <w:b/>
          <w:bCs/>
          <w:color w:val="FF0000"/>
        </w:rPr>
      </w:pPr>
    </w:p>
    <w:p w14:paraId="37FC681C" w14:textId="77777777" w:rsidR="00D24E27" w:rsidRPr="007713C1" w:rsidRDefault="00D24E27" w:rsidP="00D24E27">
      <w:pPr>
        <w:jc w:val="center"/>
        <w:rPr>
          <w:rFonts w:ascii="Times New Roman" w:hAnsi="Times New Roman" w:cs="Times New Roman"/>
          <w:b/>
          <w:sz w:val="40"/>
          <w:szCs w:val="40"/>
        </w:rPr>
      </w:pPr>
      <w:r w:rsidRPr="007713C1">
        <w:rPr>
          <w:rFonts w:ascii="Times New Roman" w:hAnsi="Times New Roman" w:cs="Times New Roman"/>
          <w:b/>
          <w:sz w:val="40"/>
          <w:szCs w:val="40"/>
        </w:rPr>
        <w:t>УСЛОВИЯ ЗА КАНДИДАТСТВАНЕ</w:t>
      </w:r>
    </w:p>
    <w:p w14:paraId="6932CE50" w14:textId="77777777" w:rsidR="00A92EA8" w:rsidRDefault="00A92EA8" w:rsidP="00A92EA8">
      <w:pPr>
        <w:spacing w:before="160"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с проектни предложения </w:t>
      </w:r>
      <w:r w:rsidR="00D24E27" w:rsidRPr="007713C1">
        <w:rPr>
          <w:rFonts w:ascii="Times New Roman" w:hAnsi="Times New Roman" w:cs="Times New Roman"/>
          <w:b/>
          <w:sz w:val="32"/>
          <w:szCs w:val="32"/>
        </w:rPr>
        <w:t xml:space="preserve">за предоставяне </w:t>
      </w:r>
      <w:r>
        <w:rPr>
          <w:rFonts w:ascii="Times New Roman" w:hAnsi="Times New Roman" w:cs="Times New Roman"/>
          <w:b/>
          <w:sz w:val="32"/>
          <w:szCs w:val="32"/>
        </w:rPr>
        <w:t>на безвъзмездна финансова помощ</w:t>
      </w:r>
    </w:p>
    <w:p w14:paraId="5D21D297" w14:textId="77777777" w:rsidR="00D24E27" w:rsidRPr="007713C1" w:rsidRDefault="00D24E27" w:rsidP="00A92EA8">
      <w:pPr>
        <w:spacing w:before="160" w:line="360" w:lineRule="auto"/>
        <w:jc w:val="center"/>
        <w:rPr>
          <w:rFonts w:ascii="Times New Roman" w:hAnsi="Times New Roman" w:cs="Times New Roman"/>
          <w:b/>
          <w:sz w:val="32"/>
          <w:szCs w:val="32"/>
        </w:rPr>
      </w:pPr>
      <w:r w:rsidRPr="007713C1">
        <w:rPr>
          <w:rFonts w:ascii="Times New Roman" w:hAnsi="Times New Roman" w:cs="Times New Roman"/>
          <w:b/>
          <w:sz w:val="32"/>
          <w:szCs w:val="32"/>
        </w:rPr>
        <w:t>по</w:t>
      </w:r>
    </w:p>
    <w:p w14:paraId="7598CA89" w14:textId="77777777" w:rsidR="00A92EA8" w:rsidRDefault="00A92EA8" w:rsidP="00A92EA8">
      <w:pPr>
        <w:spacing w:before="160"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Програма за развитие на селските райони  </w:t>
      </w:r>
      <w:r w:rsidR="00D24E27" w:rsidRPr="007713C1">
        <w:rPr>
          <w:rFonts w:ascii="Times New Roman" w:hAnsi="Times New Roman" w:cs="Times New Roman"/>
          <w:b/>
          <w:sz w:val="32"/>
          <w:szCs w:val="32"/>
        </w:rPr>
        <w:t>2014-2020</w:t>
      </w:r>
    </w:p>
    <w:p w14:paraId="019EE841" w14:textId="77777777" w:rsidR="00BD49D7" w:rsidRDefault="00BD49D7" w:rsidP="00A92EA8">
      <w:pPr>
        <w:spacing w:before="160" w:line="360" w:lineRule="auto"/>
        <w:jc w:val="center"/>
        <w:rPr>
          <w:rFonts w:ascii="Times New Roman" w:hAnsi="Times New Roman" w:cs="Times New Roman"/>
          <w:b/>
          <w:sz w:val="32"/>
          <w:szCs w:val="32"/>
        </w:rPr>
      </w:pPr>
      <w:r>
        <w:rPr>
          <w:rFonts w:ascii="Times New Roman" w:hAnsi="Times New Roman" w:cs="Times New Roman"/>
          <w:b/>
          <w:sz w:val="32"/>
          <w:szCs w:val="32"/>
        </w:rPr>
        <w:t>чрез подхода</w:t>
      </w:r>
    </w:p>
    <w:p w14:paraId="4840AA1A" w14:textId="77777777" w:rsidR="007718CE" w:rsidRPr="00925B41" w:rsidRDefault="00170A94" w:rsidP="00BF2C64">
      <w:pPr>
        <w:spacing w:before="160" w:line="360" w:lineRule="auto"/>
        <w:jc w:val="center"/>
        <w:rPr>
          <w:rFonts w:ascii="Times New Roman" w:hAnsi="Times New Roman" w:cs="Times New Roman"/>
          <w:b/>
          <w:sz w:val="32"/>
          <w:szCs w:val="32"/>
        </w:rPr>
      </w:pPr>
      <w:r w:rsidRPr="00925B41">
        <w:rPr>
          <w:rFonts w:ascii="Times New Roman" w:hAnsi="Times New Roman" w:cs="Times New Roman"/>
          <w:b/>
          <w:sz w:val="32"/>
          <w:szCs w:val="32"/>
        </w:rPr>
        <w:t>ВОДЕНО ОТ ОБЩНОСТИТЕ МЕСТНО РАЗВИТИЕ</w:t>
      </w:r>
    </w:p>
    <w:p w14:paraId="73CA92E4" w14:textId="77777777" w:rsidR="00177AC9" w:rsidRPr="007713C1" w:rsidRDefault="00177AC9" w:rsidP="009C0B06">
      <w:pPr>
        <w:jc w:val="center"/>
        <w:rPr>
          <w:rFonts w:ascii="Times New Roman" w:hAnsi="Times New Roman" w:cs="Times New Roman"/>
        </w:rPr>
      </w:pPr>
    </w:p>
    <w:tbl>
      <w:tblPr>
        <w:tblStyle w:val="TableGrid"/>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340"/>
      </w:tblGrid>
      <w:tr w:rsidR="00D24E27" w:rsidRPr="007713C1" w14:paraId="331AB0D1" w14:textId="77777777" w:rsidTr="00BF2C64">
        <w:trPr>
          <w:trHeight w:val="470"/>
        </w:trPr>
        <w:tc>
          <w:tcPr>
            <w:tcW w:w="9496" w:type="dxa"/>
            <w:shd w:val="clear" w:color="auto" w:fill="CCECFF"/>
          </w:tcPr>
          <w:p w14:paraId="3D722C44" w14:textId="4999083F" w:rsidR="00D24E27" w:rsidRPr="00FD78FC" w:rsidRDefault="00D24E27" w:rsidP="009A274C">
            <w:pPr>
              <w:spacing w:before="240" w:after="240"/>
              <w:jc w:val="center"/>
              <w:rPr>
                <w:b/>
                <w:sz w:val="28"/>
                <w:szCs w:val="28"/>
              </w:rPr>
            </w:pPr>
            <w:r w:rsidRPr="00FD78FC">
              <w:rPr>
                <w:b/>
                <w:sz w:val="28"/>
                <w:szCs w:val="28"/>
              </w:rPr>
              <w:t xml:space="preserve">Процедура </w:t>
            </w:r>
            <w:r w:rsidR="00303BC8" w:rsidRPr="007713C1">
              <w:rPr>
                <w:b/>
                <w:sz w:val="28"/>
                <w:szCs w:val="28"/>
              </w:rPr>
              <w:t>чрез</w:t>
            </w:r>
            <w:r w:rsidRPr="00FD78FC">
              <w:rPr>
                <w:b/>
                <w:sz w:val="28"/>
                <w:szCs w:val="28"/>
              </w:rPr>
              <w:t xml:space="preserve"> подбор на проект</w:t>
            </w:r>
            <w:r w:rsidR="000F4530" w:rsidRPr="007713C1">
              <w:rPr>
                <w:b/>
                <w:sz w:val="28"/>
                <w:szCs w:val="28"/>
              </w:rPr>
              <w:t>н</w:t>
            </w:r>
            <w:r w:rsidRPr="00FD78FC">
              <w:rPr>
                <w:b/>
                <w:sz w:val="28"/>
                <w:szCs w:val="28"/>
              </w:rPr>
              <w:t>и</w:t>
            </w:r>
            <w:r w:rsidR="000F4530" w:rsidRPr="00FD78FC">
              <w:rPr>
                <w:b/>
                <w:sz w:val="28"/>
                <w:szCs w:val="28"/>
              </w:rPr>
              <w:t xml:space="preserve"> предложения</w:t>
            </w:r>
            <w:r w:rsidR="00757BEF">
              <w:rPr>
                <w:b/>
                <w:sz w:val="28"/>
                <w:szCs w:val="28"/>
              </w:rPr>
              <w:t xml:space="preserve"> с </w:t>
            </w:r>
            <w:r w:rsidR="0049451A">
              <w:rPr>
                <w:b/>
                <w:sz w:val="28"/>
                <w:szCs w:val="28"/>
              </w:rPr>
              <w:t>два</w:t>
            </w:r>
            <w:r w:rsidR="00C260AC">
              <w:rPr>
                <w:b/>
                <w:sz w:val="28"/>
                <w:szCs w:val="28"/>
              </w:rPr>
              <w:t xml:space="preserve"> </w:t>
            </w:r>
            <w:r w:rsidRPr="00FD78FC">
              <w:rPr>
                <w:b/>
                <w:sz w:val="28"/>
                <w:szCs w:val="28"/>
              </w:rPr>
              <w:t>крайни срока за кандидатстване</w:t>
            </w:r>
          </w:p>
          <w:p w14:paraId="6018F4DC" w14:textId="3732E0D6" w:rsidR="00D24E27" w:rsidRDefault="00FF740B" w:rsidP="00F2638C">
            <w:pPr>
              <w:spacing w:before="240" w:after="240"/>
              <w:jc w:val="center"/>
              <w:rPr>
                <w:b/>
                <w:caps/>
                <w:color w:val="000000" w:themeColor="text1"/>
                <w:sz w:val="28"/>
                <w:szCs w:val="28"/>
              </w:rPr>
            </w:pPr>
            <w:r w:rsidRPr="00FF740B">
              <w:rPr>
                <w:b/>
                <w:sz w:val="28"/>
                <w:szCs w:val="28"/>
              </w:rPr>
              <w:t>BG06RDNP001-19.605</w:t>
            </w:r>
            <w:r>
              <w:rPr>
                <w:b/>
                <w:sz w:val="28"/>
                <w:szCs w:val="28"/>
              </w:rPr>
              <w:t xml:space="preserve"> </w:t>
            </w:r>
            <w:r w:rsidR="004D55AE">
              <w:rPr>
                <w:b/>
                <w:sz w:val="28"/>
                <w:szCs w:val="28"/>
              </w:rPr>
              <w:t xml:space="preserve">МИГ </w:t>
            </w:r>
            <w:r w:rsidR="008916EB">
              <w:rPr>
                <w:b/>
                <w:sz w:val="28"/>
                <w:szCs w:val="28"/>
              </w:rPr>
              <w:t>Поморие_</w:t>
            </w:r>
            <w:r w:rsidR="00760D96">
              <w:rPr>
                <w:b/>
                <w:sz w:val="28"/>
                <w:szCs w:val="28"/>
              </w:rPr>
              <w:t>4.2_</w:t>
            </w:r>
            <w:r w:rsidR="008916EB">
              <w:rPr>
                <w:b/>
                <w:sz w:val="28"/>
                <w:szCs w:val="28"/>
              </w:rPr>
              <w:t>М</w:t>
            </w:r>
            <w:r w:rsidR="00C2751D">
              <w:rPr>
                <w:b/>
                <w:sz w:val="28"/>
                <w:szCs w:val="28"/>
              </w:rPr>
              <w:t>2</w:t>
            </w:r>
            <w:r w:rsidR="00760D96">
              <w:rPr>
                <w:b/>
                <w:sz w:val="28"/>
                <w:szCs w:val="28"/>
              </w:rPr>
              <w:t xml:space="preserve"> </w:t>
            </w:r>
            <w:r w:rsidR="00925B41">
              <w:rPr>
                <w:b/>
                <w:color w:val="000000" w:themeColor="text1"/>
                <w:sz w:val="28"/>
                <w:szCs w:val="28"/>
              </w:rPr>
              <w:t>“</w:t>
            </w:r>
            <w:r w:rsidR="00C2751D" w:rsidRPr="00C2751D">
              <w:rPr>
                <w:b/>
                <w:color w:val="000000" w:themeColor="text1"/>
                <w:sz w:val="28"/>
                <w:szCs w:val="28"/>
              </w:rPr>
              <w:t>Инвестиции в преработка/маркетинг на селскостопански продукти</w:t>
            </w:r>
            <w:r w:rsidR="00925B41">
              <w:rPr>
                <w:b/>
                <w:caps/>
                <w:color w:val="000000" w:themeColor="text1"/>
                <w:sz w:val="28"/>
                <w:szCs w:val="28"/>
              </w:rPr>
              <w:t>”</w:t>
            </w:r>
          </w:p>
          <w:p w14:paraId="387672B1" w14:textId="77777777" w:rsidR="00445CEF" w:rsidRPr="00FD78FC" w:rsidRDefault="00445CEF" w:rsidP="00F2638C">
            <w:pPr>
              <w:spacing w:before="240" w:after="240"/>
              <w:jc w:val="center"/>
            </w:pPr>
            <w:r>
              <w:t>МЕСТНА ИНИЦИАТИВНА ГРУПА ПОМОРИЕ</w:t>
            </w:r>
          </w:p>
        </w:tc>
      </w:tr>
    </w:tbl>
    <w:p w14:paraId="21FE0477" w14:textId="77777777" w:rsidR="007718CE" w:rsidRPr="00FD78FC" w:rsidRDefault="007718CE" w:rsidP="009C0B06">
      <w:pPr>
        <w:jc w:val="center"/>
        <w:rPr>
          <w:rFonts w:ascii="Times New Roman" w:hAnsi="Times New Roman" w:cs="Times New Roman"/>
        </w:rPr>
      </w:pPr>
    </w:p>
    <w:p w14:paraId="28FE0819" w14:textId="77777777" w:rsidR="008D413D" w:rsidRPr="00FD78FC" w:rsidRDefault="008D413D" w:rsidP="009C0B06">
      <w:pPr>
        <w:jc w:val="center"/>
        <w:rPr>
          <w:rFonts w:ascii="Times New Roman" w:hAnsi="Times New Roman" w:cs="Times New Roman"/>
        </w:rPr>
      </w:pPr>
    </w:p>
    <w:p w14:paraId="348969C5" w14:textId="77777777" w:rsidR="009C0B06" w:rsidRPr="00FD78FC" w:rsidRDefault="00AF5CC7" w:rsidP="009C0B06">
      <w:pPr>
        <w:jc w:val="center"/>
        <w:rPr>
          <w:rFonts w:ascii="Times New Roman" w:hAnsi="Times New Roman" w:cs="Times New Roman"/>
        </w:rPr>
      </w:pPr>
      <w:r>
        <w:rPr>
          <w:rFonts w:ascii="Times New Roman" w:hAnsi="Times New Roman" w:cs="Times New Roman"/>
          <w:noProof/>
          <w:lang w:val="en-US"/>
        </w:rPr>
        <mc:AlternateContent>
          <mc:Choice Requires="wpc">
            <w:drawing>
              <wp:inline distT="0" distB="0" distL="0" distR="0" wp14:anchorId="5446C21A" wp14:editId="39913743">
                <wp:extent cx="5991225" cy="419100"/>
                <wp:effectExtent l="4445" t="1905" r="0" b="0"/>
                <wp:docPr id="6"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Line 4"/>
                        <wps:cNvCnPr>
                          <a:cxnSpLocks noChangeShapeType="1"/>
                        </wps:cNvCnPr>
                        <wps:spPr bwMode="auto">
                          <a:xfrm flipV="1">
                            <a:off x="35900" y="139100"/>
                            <a:ext cx="2772312"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2927212" y="68200"/>
                            <a:ext cx="318501" cy="143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Line 6"/>
                        <wps:cNvCnPr>
                          <a:cxnSpLocks noChangeShapeType="1"/>
                        </wps:cNvCnPr>
                        <wps:spPr bwMode="auto">
                          <a:xfrm flipV="1">
                            <a:off x="3388314" y="140800"/>
                            <a:ext cx="2545711" cy="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31AA5F3" id="Canvas 2" o:spid="_x0000_s1026" editas="canvas" style="width:471.75pt;height:33pt;mso-position-horizontal-relative:char;mso-position-vertical-relative:line" coordsize="59912,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912;height:4191;visibility:visible;mso-wrap-style:square">
                  <v:fill o:detectmouseclick="t"/>
                  <v:path o:connecttype="none"/>
                </v:shape>
                <v:line id="Line 4" o:spid="_x0000_s1028" style="position:absolute;flip:y;visibility:visible;mso-wrap-style:square" from="359,1391" to="28082,1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2;width:3185;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kx/MQA&#10;AADaAAAADwAAAGRycy9kb3ducmV2LnhtbESPQWvCQBSE7wX/w/IKvemmNmhJXUWE0h5E1BbPr9ln&#10;Epr3NmRXk/rrXUHocZiZb5jZoudanan1lRMDz6MEFEnubCWFge+v9+ErKB9QLNZOyMAfeVjMBw8z&#10;zKzrZEfnfShUhIjP0EAZQpNp7fOSGP3INSTRO7qWMUTZFtq22EU413qcJBPNWElcKLGhVUn57/7E&#10;BrY/6Za79eXI60t64Pr0MT1sXox5euyXb6AC9eE/fG9/WgMp3K7EG6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5MfzEAAAA2gAAAA8AAAAAAAAAAAAAAAAAmAIAAGRycy9k&#10;b3ducmV2LnhtbFBLBQYAAAAABAAEAPUAAACJAwAAAAA=&#10;"/>
                <v:line id="Line 6" o:spid="_x0000_s1030" style="position:absolute;flip:y;visibility:visible;mso-wrap-style:square" from="33883,1408" to="59340,1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w10:anchorlock/>
              </v:group>
            </w:pict>
          </mc:Fallback>
        </mc:AlternateContent>
      </w:r>
    </w:p>
    <w:p w14:paraId="16AB775F" w14:textId="77777777" w:rsidR="00D24E27" w:rsidRPr="007713C1" w:rsidRDefault="00D24E27">
      <w:pPr>
        <w:rPr>
          <w:rFonts w:ascii="Times New Roman" w:eastAsia="Times New Roman" w:hAnsi="Times New Roman" w:cs="Times New Roman"/>
          <w:b/>
          <w:bCs/>
          <w:noProof/>
          <w:snapToGrid w:val="0"/>
        </w:rPr>
      </w:pPr>
      <w:r w:rsidRPr="007713C1">
        <w:rPr>
          <w:rFonts w:ascii="Times New Roman" w:hAnsi="Times New Roman" w:cs="Times New Roman"/>
          <w:b/>
        </w:rPr>
        <w:br w:type="page"/>
      </w:r>
    </w:p>
    <w:p w14:paraId="4B0F31F5" w14:textId="77777777" w:rsidR="003A2D4B" w:rsidRPr="007713C1" w:rsidRDefault="003A2D4B" w:rsidP="007F5391">
      <w:pPr>
        <w:rPr>
          <w:rFonts w:ascii="Times New Roman" w:hAnsi="Times New Roman" w:cs="Times New Roman"/>
          <w:b/>
          <w:sz w:val="28"/>
          <w:szCs w:val="28"/>
        </w:rPr>
      </w:pPr>
      <w:r w:rsidRPr="007713C1">
        <w:rPr>
          <w:rFonts w:ascii="Times New Roman" w:hAnsi="Times New Roman" w:cs="Times New Roman"/>
          <w:b/>
          <w:sz w:val="28"/>
          <w:szCs w:val="28"/>
        </w:rPr>
        <w:lastRenderedPageBreak/>
        <w:t>СЪДЪРЖАНИЕ:</w:t>
      </w:r>
    </w:p>
    <w:sdt>
      <w:sdtPr>
        <w:rPr>
          <w:rFonts w:asciiTheme="minorHAnsi" w:hAnsiTheme="minorHAnsi" w:cstheme="minorBidi"/>
          <w:b w:val="0"/>
          <w:color w:val="auto"/>
          <w:sz w:val="24"/>
          <w:szCs w:val="24"/>
          <w:lang w:eastAsia="en-US"/>
        </w:rPr>
        <w:id w:val="1082108175"/>
        <w:docPartObj>
          <w:docPartGallery w:val="Table of Contents"/>
          <w:docPartUnique/>
        </w:docPartObj>
      </w:sdtPr>
      <w:sdtEndPr>
        <w:rPr>
          <w:bCs/>
        </w:rPr>
      </w:sdtEndPr>
      <w:sdtContent>
        <w:p w14:paraId="20FC518F" w14:textId="77777777" w:rsidR="0035525C" w:rsidRPr="00C7091C" w:rsidRDefault="0035525C">
          <w:pPr>
            <w:pStyle w:val="TOCHeading"/>
            <w:rPr>
              <w:sz w:val="24"/>
              <w:szCs w:val="24"/>
            </w:rPr>
          </w:pPr>
        </w:p>
        <w:p w14:paraId="0B6DD61A" w14:textId="77777777" w:rsidR="00C6537B" w:rsidRPr="00C7091C" w:rsidRDefault="0035525C">
          <w:pPr>
            <w:pStyle w:val="TOC1"/>
            <w:tabs>
              <w:tab w:val="right" w:leader="dot" w:pos="9346"/>
            </w:tabs>
            <w:rPr>
              <w:rFonts w:ascii="Times New Roman" w:eastAsiaTheme="minorEastAsia" w:hAnsi="Times New Roman" w:cs="Times New Roman"/>
              <w:b w:val="0"/>
              <w:bCs w:val="0"/>
              <w:noProof/>
              <w:lang w:eastAsia="bg-BG"/>
            </w:rPr>
          </w:pPr>
          <w:r w:rsidRPr="00C7091C">
            <w:rPr>
              <w:rFonts w:ascii="Times New Roman" w:hAnsi="Times New Roman" w:cs="Times New Roman"/>
            </w:rPr>
            <w:fldChar w:fldCharType="begin"/>
          </w:r>
          <w:r w:rsidRPr="00C7091C">
            <w:rPr>
              <w:rFonts w:ascii="Times New Roman" w:hAnsi="Times New Roman" w:cs="Times New Roman"/>
            </w:rPr>
            <w:instrText xml:space="preserve"> TOC \o "1-3" \h \z \u </w:instrText>
          </w:r>
          <w:r w:rsidRPr="00C7091C">
            <w:rPr>
              <w:rFonts w:ascii="Times New Roman" w:hAnsi="Times New Roman" w:cs="Times New Roman"/>
            </w:rPr>
            <w:fldChar w:fldCharType="separate"/>
          </w:r>
          <w:hyperlink w:anchor="_Toc535495173" w:history="1">
            <w:r w:rsidR="00C6537B" w:rsidRPr="00C7091C">
              <w:rPr>
                <w:rStyle w:val="Hyperlink"/>
                <w:rFonts w:ascii="Times New Roman" w:hAnsi="Times New Roman" w:cs="Times New Roman"/>
                <w:noProof/>
              </w:rPr>
              <w:t>1. Наименование на програмата:</w:t>
            </w:r>
            <w:r w:rsidR="00C6537B" w:rsidRPr="00C7091C">
              <w:rPr>
                <w:rFonts w:ascii="Times New Roman" w:hAnsi="Times New Roman" w:cs="Times New Roman"/>
                <w:noProof/>
                <w:webHidden/>
              </w:rPr>
              <w:tab/>
            </w:r>
            <w:r w:rsidR="00C6537B" w:rsidRPr="00C7091C">
              <w:rPr>
                <w:rFonts w:ascii="Times New Roman" w:hAnsi="Times New Roman" w:cs="Times New Roman"/>
                <w:noProof/>
                <w:webHidden/>
              </w:rPr>
              <w:fldChar w:fldCharType="begin"/>
            </w:r>
            <w:r w:rsidR="00C6537B" w:rsidRPr="00C7091C">
              <w:rPr>
                <w:rFonts w:ascii="Times New Roman" w:hAnsi="Times New Roman" w:cs="Times New Roman"/>
                <w:noProof/>
                <w:webHidden/>
              </w:rPr>
              <w:instrText xml:space="preserve"> PAGEREF _Toc535495173 \h </w:instrText>
            </w:r>
            <w:r w:rsidR="00C6537B" w:rsidRPr="00C7091C">
              <w:rPr>
                <w:rFonts w:ascii="Times New Roman" w:hAnsi="Times New Roman" w:cs="Times New Roman"/>
                <w:noProof/>
                <w:webHidden/>
              </w:rPr>
            </w:r>
            <w:r w:rsidR="00C6537B" w:rsidRPr="00C7091C">
              <w:rPr>
                <w:rFonts w:ascii="Times New Roman" w:hAnsi="Times New Roman" w:cs="Times New Roman"/>
                <w:noProof/>
                <w:webHidden/>
              </w:rPr>
              <w:fldChar w:fldCharType="separate"/>
            </w:r>
            <w:r w:rsidR="00BD2B23">
              <w:rPr>
                <w:rFonts w:ascii="Times New Roman" w:hAnsi="Times New Roman" w:cs="Times New Roman"/>
                <w:noProof/>
                <w:webHidden/>
              </w:rPr>
              <w:t>7</w:t>
            </w:r>
            <w:r w:rsidR="00C6537B" w:rsidRPr="00C7091C">
              <w:rPr>
                <w:rFonts w:ascii="Times New Roman" w:hAnsi="Times New Roman" w:cs="Times New Roman"/>
                <w:noProof/>
                <w:webHidden/>
              </w:rPr>
              <w:fldChar w:fldCharType="end"/>
            </w:r>
          </w:hyperlink>
        </w:p>
        <w:p w14:paraId="0FBB6B9B" w14:textId="77777777" w:rsidR="00C6537B" w:rsidRPr="00C7091C" w:rsidRDefault="005F3DFE">
          <w:pPr>
            <w:pStyle w:val="TOC1"/>
            <w:tabs>
              <w:tab w:val="right" w:leader="dot" w:pos="9346"/>
            </w:tabs>
            <w:rPr>
              <w:rFonts w:ascii="Times New Roman" w:eastAsiaTheme="minorEastAsia" w:hAnsi="Times New Roman" w:cs="Times New Roman"/>
              <w:b w:val="0"/>
              <w:bCs w:val="0"/>
              <w:noProof/>
              <w:lang w:eastAsia="bg-BG"/>
            </w:rPr>
          </w:pPr>
          <w:hyperlink w:anchor="_Toc535495174" w:history="1">
            <w:r w:rsidR="00C6537B" w:rsidRPr="00C7091C">
              <w:rPr>
                <w:rStyle w:val="Hyperlink"/>
                <w:rFonts w:ascii="Times New Roman" w:hAnsi="Times New Roman" w:cs="Times New Roman"/>
                <w:noProof/>
              </w:rPr>
              <w:t>2. Наименование на приоритетната ос:</w:t>
            </w:r>
            <w:r w:rsidR="00C6537B" w:rsidRPr="00C7091C">
              <w:rPr>
                <w:rFonts w:ascii="Times New Roman" w:hAnsi="Times New Roman" w:cs="Times New Roman"/>
                <w:noProof/>
                <w:webHidden/>
              </w:rPr>
              <w:tab/>
            </w:r>
            <w:r w:rsidR="00C6537B" w:rsidRPr="00C7091C">
              <w:rPr>
                <w:rFonts w:ascii="Times New Roman" w:hAnsi="Times New Roman" w:cs="Times New Roman"/>
                <w:noProof/>
                <w:webHidden/>
              </w:rPr>
              <w:fldChar w:fldCharType="begin"/>
            </w:r>
            <w:r w:rsidR="00C6537B" w:rsidRPr="00C7091C">
              <w:rPr>
                <w:rFonts w:ascii="Times New Roman" w:hAnsi="Times New Roman" w:cs="Times New Roman"/>
                <w:noProof/>
                <w:webHidden/>
              </w:rPr>
              <w:instrText xml:space="preserve"> PAGEREF _Toc535495174 \h </w:instrText>
            </w:r>
            <w:r w:rsidR="00C6537B" w:rsidRPr="00C7091C">
              <w:rPr>
                <w:rFonts w:ascii="Times New Roman" w:hAnsi="Times New Roman" w:cs="Times New Roman"/>
                <w:noProof/>
                <w:webHidden/>
              </w:rPr>
            </w:r>
            <w:r w:rsidR="00C6537B" w:rsidRPr="00C7091C">
              <w:rPr>
                <w:rFonts w:ascii="Times New Roman" w:hAnsi="Times New Roman" w:cs="Times New Roman"/>
                <w:noProof/>
                <w:webHidden/>
              </w:rPr>
              <w:fldChar w:fldCharType="separate"/>
            </w:r>
            <w:r w:rsidR="00BD2B23">
              <w:rPr>
                <w:rFonts w:ascii="Times New Roman" w:hAnsi="Times New Roman" w:cs="Times New Roman"/>
                <w:noProof/>
                <w:webHidden/>
              </w:rPr>
              <w:t>7</w:t>
            </w:r>
            <w:r w:rsidR="00C6537B" w:rsidRPr="00C7091C">
              <w:rPr>
                <w:rFonts w:ascii="Times New Roman" w:hAnsi="Times New Roman" w:cs="Times New Roman"/>
                <w:noProof/>
                <w:webHidden/>
              </w:rPr>
              <w:fldChar w:fldCharType="end"/>
            </w:r>
          </w:hyperlink>
        </w:p>
        <w:p w14:paraId="241BC9B7" w14:textId="77777777" w:rsidR="00C6537B" w:rsidRPr="00C7091C" w:rsidRDefault="005F3DFE">
          <w:pPr>
            <w:pStyle w:val="TOC1"/>
            <w:tabs>
              <w:tab w:val="right" w:leader="dot" w:pos="9346"/>
            </w:tabs>
            <w:rPr>
              <w:rFonts w:ascii="Times New Roman" w:eastAsiaTheme="minorEastAsia" w:hAnsi="Times New Roman" w:cs="Times New Roman"/>
              <w:b w:val="0"/>
              <w:bCs w:val="0"/>
              <w:noProof/>
              <w:lang w:eastAsia="bg-BG"/>
            </w:rPr>
          </w:pPr>
          <w:hyperlink w:anchor="_Toc535495175" w:history="1">
            <w:r w:rsidR="00C6537B" w:rsidRPr="00C7091C">
              <w:rPr>
                <w:rStyle w:val="Hyperlink"/>
                <w:rFonts w:ascii="Times New Roman" w:hAnsi="Times New Roman" w:cs="Times New Roman"/>
                <w:noProof/>
              </w:rPr>
              <w:t>3. Наименование на процедурата:</w:t>
            </w:r>
            <w:r w:rsidR="00C6537B" w:rsidRPr="00C7091C">
              <w:rPr>
                <w:rFonts w:ascii="Times New Roman" w:hAnsi="Times New Roman" w:cs="Times New Roman"/>
                <w:noProof/>
                <w:webHidden/>
              </w:rPr>
              <w:tab/>
            </w:r>
            <w:r w:rsidR="00C6537B" w:rsidRPr="00C7091C">
              <w:rPr>
                <w:rFonts w:ascii="Times New Roman" w:hAnsi="Times New Roman" w:cs="Times New Roman"/>
                <w:noProof/>
                <w:webHidden/>
              </w:rPr>
              <w:fldChar w:fldCharType="begin"/>
            </w:r>
            <w:r w:rsidR="00C6537B" w:rsidRPr="00C7091C">
              <w:rPr>
                <w:rFonts w:ascii="Times New Roman" w:hAnsi="Times New Roman" w:cs="Times New Roman"/>
                <w:noProof/>
                <w:webHidden/>
              </w:rPr>
              <w:instrText xml:space="preserve"> PAGEREF _Toc535495175 \h </w:instrText>
            </w:r>
            <w:r w:rsidR="00C6537B" w:rsidRPr="00C7091C">
              <w:rPr>
                <w:rFonts w:ascii="Times New Roman" w:hAnsi="Times New Roman" w:cs="Times New Roman"/>
                <w:noProof/>
                <w:webHidden/>
              </w:rPr>
            </w:r>
            <w:r w:rsidR="00C6537B" w:rsidRPr="00C7091C">
              <w:rPr>
                <w:rFonts w:ascii="Times New Roman" w:hAnsi="Times New Roman" w:cs="Times New Roman"/>
                <w:noProof/>
                <w:webHidden/>
              </w:rPr>
              <w:fldChar w:fldCharType="separate"/>
            </w:r>
            <w:r w:rsidR="00BD2B23">
              <w:rPr>
                <w:rFonts w:ascii="Times New Roman" w:hAnsi="Times New Roman" w:cs="Times New Roman"/>
                <w:noProof/>
                <w:webHidden/>
              </w:rPr>
              <w:t>7</w:t>
            </w:r>
            <w:r w:rsidR="00C6537B" w:rsidRPr="00C7091C">
              <w:rPr>
                <w:rFonts w:ascii="Times New Roman" w:hAnsi="Times New Roman" w:cs="Times New Roman"/>
                <w:noProof/>
                <w:webHidden/>
              </w:rPr>
              <w:fldChar w:fldCharType="end"/>
            </w:r>
          </w:hyperlink>
        </w:p>
        <w:p w14:paraId="591631FE" w14:textId="77777777" w:rsidR="00C6537B" w:rsidRPr="00C7091C" w:rsidRDefault="005F3DFE">
          <w:pPr>
            <w:pStyle w:val="TOC1"/>
            <w:tabs>
              <w:tab w:val="right" w:leader="dot" w:pos="9346"/>
            </w:tabs>
            <w:rPr>
              <w:rFonts w:ascii="Times New Roman" w:eastAsiaTheme="minorEastAsia" w:hAnsi="Times New Roman" w:cs="Times New Roman"/>
              <w:b w:val="0"/>
              <w:bCs w:val="0"/>
              <w:noProof/>
              <w:lang w:eastAsia="bg-BG"/>
            </w:rPr>
          </w:pPr>
          <w:hyperlink w:anchor="_Toc535495176" w:history="1">
            <w:r w:rsidR="00C6537B" w:rsidRPr="00C7091C">
              <w:rPr>
                <w:rStyle w:val="Hyperlink"/>
                <w:rFonts w:ascii="Times New Roman" w:hAnsi="Times New Roman" w:cs="Times New Roman"/>
                <w:noProof/>
              </w:rPr>
              <w:t>4. Измерения по кодове:</w:t>
            </w:r>
            <w:r w:rsidR="00C6537B" w:rsidRPr="00C7091C">
              <w:rPr>
                <w:rFonts w:ascii="Times New Roman" w:hAnsi="Times New Roman" w:cs="Times New Roman"/>
                <w:noProof/>
                <w:webHidden/>
              </w:rPr>
              <w:tab/>
            </w:r>
            <w:r w:rsidR="00C6537B" w:rsidRPr="00C7091C">
              <w:rPr>
                <w:rFonts w:ascii="Times New Roman" w:hAnsi="Times New Roman" w:cs="Times New Roman"/>
                <w:noProof/>
                <w:webHidden/>
              </w:rPr>
              <w:fldChar w:fldCharType="begin"/>
            </w:r>
            <w:r w:rsidR="00C6537B" w:rsidRPr="00C7091C">
              <w:rPr>
                <w:rFonts w:ascii="Times New Roman" w:hAnsi="Times New Roman" w:cs="Times New Roman"/>
                <w:noProof/>
                <w:webHidden/>
              </w:rPr>
              <w:instrText xml:space="preserve"> PAGEREF _Toc535495176 \h </w:instrText>
            </w:r>
            <w:r w:rsidR="00C6537B" w:rsidRPr="00C7091C">
              <w:rPr>
                <w:rFonts w:ascii="Times New Roman" w:hAnsi="Times New Roman" w:cs="Times New Roman"/>
                <w:noProof/>
                <w:webHidden/>
              </w:rPr>
            </w:r>
            <w:r w:rsidR="00C6537B" w:rsidRPr="00C7091C">
              <w:rPr>
                <w:rFonts w:ascii="Times New Roman" w:hAnsi="Times New Roman" w:cs="Times New Roman"/>
                <w:noProof/>
                <w:webHidden/>
              </w:rPr>
              <w:fldChar w:fldCharType="separate"/>
            </w:r>
            <w:r w:rsidR="00BD2B23">
              <w:rPr>
                <w:rFonts w:ascii="Times New Roman" w:hAnsi="Times New Roman" w:cs="Times New Roman"/>
                <w:noProof/>
                <w:webHidden/>
              </w:rPr>
              <w:t>7</w:t>
            </w:r>
            <w:r w:rsidR="00C6537B" w:rsidRPr="00C7091C">
              <w:rPr>
                <w:rFonts w:ascii="Times New Roman" w:hAnsi="Times New Roman" w:cs="Times New Roman"/>
                <w:noProof/>
                <w:webHidden/>
              </w:rPr>
              <w:fldChar w:fldCharType="end"/>
            </w:r>
          </w:hyperlink>
        </w:p>
        <w:p w14:paraId="4388C62C" w14:textId="77777777" w:rsidR="00C6537B" w:rsidRPr="00C7091C" w:rsidRDefault="005F3DFE">
          <w:pPr>
            <w:pStyle w:val="TOC1"/>
            <w:tabs>
              <w:tab w:val="right" w:leader="dot" w:pos="9346"/>
            </w:tabs>
            <w:rPr>
              <w:rFonts w:ascii="Times New Roman" w:eastAsiaTheme="minorEastAsia" w:hAnsi="Times New Roman" w:cs="Times New Roman"/>
              <w:b w:val="0"/>
              <w:bCs w:val="0"/>
              <w:noProof/>
              <w:lang w:eastAsia="bg-BG"/>
            </w:rPr>
          </w:pPr>
          <w:hyperlink w:anchor="_Toc535495177" w:history="1">
            <w:r w:rsidR="00C6537B" w:rsidRPr="00C7091C">
              <w:rPr>
                <w:rStyle w:val="Hyperlink"/>
                <w:rFonts w:ascii="Times New Roman" w:hAnsi="Times New Roman" w:cs="Times New Roman"/>
                <w:noProof/>
              </w:rPr>
              <w:t>5. Териториален обхват:</w:t>
            </w:r>
            <w:r w:rsidR="00C6537B" w:rsidRPr="00C7091C">
              <w:rPr>
                <w:rFonts w:ascii="Times New Roman" w:hAnsi="Times New Roman" w:cs="Times New Roman"/>
                <w:noProof/>
                <w:webHidden/>
              </w:rPr>
              <w:tab/>
            </w:r>
            <w:r w:rsidR="00C6537B" w:rsidRPr="00C7091C">
              <w:rPr>
                <w:rFonts w:ascii="Times New Roman" w:hAnsi="Times New Roman" w:cs="Times New Roman"/>
                <w:noProof/>
                <w:webHidden/>
              </w:rPr>
              <w:fldChar w:fldCharType="begin"/>
            </w:r>
            <w:r w:rsidR="00C6537B" w:rsidRPr="00C7091C">
              <w:rPr>
                <w:rFonts w:ascii="Times New Roman" w:hAnsi="Times New Roman" w:cs="Times New Roman"/>
                <w:noProof/>
                <w:webHidden/>
              </w:rPr>
              <w:instrText xml:space="preserve"> PAGEREF _Toc535495177 \h </w:instrText>
            </w:r>
            <w:r w:rsidR="00C6537B" w:rsidRPr="00C7091C">
              <w:rPr>
                <w:rFonts w:ascii="Times New Roman" w:hAnsi="Times New Roman" w:cs="Times New Roman"/>
                <w:noProof/>
                <w:webHidden/>
              </w:rPr>
            </w:r>
            <w:r w:rsidR="00C6537B" w:rsidRPr="00C7091C">
              <w:rPr>
                <w:rFonts w:ascii="Times New Roman" w:hAnsi="Times New Roman" w:cs="Times New Roman"/>
                <w:noProof/>
                <w:webHidden/>
              </w:rPr>
              <w:fldChar w:fldCharType="separate"/>
            </w:r>
            <w:r w:rsidR="00BD2B23">
              <w:rPr>
                <w:rFonts w:ascii="Times New Roman" w:hAnsi="Times New Roman" w:cs="Times New Roman"/>
                <w:noProof/>
                <w:webHidden/>
              </w:rPr>
              <w:t>7</w:t>
            </w:r>
            <w:r w:rsidR="00C6537B" w:rsidRPr="00C7091C">
              <w:rPr>
                <w:rFonts w:ascii="Times New Roman" w:hAnsi="Times New Roman" w:cs="Times New Roman"/>
                <w:noProof/>
                <w:webHidden/>
              </w:rPr>
              <w:fldChar w:fldCharType="end"/>
            </w:r>
          </w:hyperlink>
        </w:p>
        <w:p w14:paraId="71276B36" w14:textId="77777777" w:rsidR="00C6537B" w:rsidRPr="00C7091C" w:rsidRDefault="005F3DFE">
          <w:pPr>
            <w:pStyle w:val="TOC1"/>
            <w:tabs>
              <w:tab w:val="right" w:leader="dot" w:pos="9346"/>
            </w:tabs>
            <w:rPr>
              <w:rFonts w:ascii="Times New Roman" w:eastAsiaTheme="minorEastAsia" w:hAnsi="Times New Roman" w:cs="Times New Roman"/>
              <w:b w:val="0"/>
              <w:bCs w:val="0"/>
              <w:noProof/>
              <w:lang w:eastAsia="bg-BG"/>
            </w:rPr>
          </w:pPr>
          <w:hyperlink w:anchor="_Toc535495178" w:history="1">
            <w:r w:rsidR="00C6537B" w:rsidRPr="00C7091C">
              <w:rPr>
                <w:rStyle w:val="Hyperlink"/>
                <w:rFonts w:ascii="Times New Roman" w:hAnsi="Times New Roman" w:cs="Times New Roman"/>
                <w:noProof/>
              </w:rPr>
              <w:t>6. Цели на предоставяната безвъзмездна финансова помощ по процедурата и очаквани резултати:</w:t>
            </w:r>
            <w:r w:rsidR="00C6537B" w:rsidRPr="00C7091C">
              <w:rPr>
                <w:rFonts w:ascii="Times New Roman" w:hAnsi="Times New Roman" w:cs="Times New Roman"/>
                <w:noProof/>
                <w:webHidden/>
              </w:rPr>
              <w:tab/>
            </w:r>
            <w:r w:rsidR="00C6537B" w:rsidRPr="00C7091C">
              <w:rPr>
                <w:rFonts w:ascii="Times New Roman" w:hAnsi="Times New Roman" w:cs="Times New Roman"/>
                <w:noProof/>
                <w:webHidden/>
              </w:rPr>
              <w:fldChar w:fldCharType="begin"/>
            </w:r>
            <w:r w:rsidR="00C6537B" w:rsidRPr="00C7091C">
              <w:rPr>
                <w:rFonts w:ascii="Times New Roman" w:hAnsi="Times New Roman" w:cs="Times New Roman"/>
                <w:noProof/>
                <w:webHidden/>
              </w:rPr>
              <w:instrText xml:space="preserve"> PAGEREF _Toc535495178 \h </w:instrText>
            </w:r>
            <w:r w:rsidR="00C6537B" w:rsidRPr="00C7091C">
              <w:rPr>
                <w:rFonts w:ascii="Times New Roman" w:hAnsi="Times New Roman" w:cs="Times New Roman"/>
                <w:noProof/>
                <w:webHidden/>
              </w:rPr>
            </w:r>
            <w:r w:rsidR="00C6537B" w:rsidRPr="00C7091C">
              <w:rPr>
                <w:rFonts w:ascii="Times New Roman" w:hAnsi="Times New Roman" w:cs="Times New Roman"/>
                <w:noProof/>
                <w:webHidden/>
              </w:rPr>
              <w:fldChar w:fldCharType="separate"/>
            </w:r>
            <w:r w:rsidR="00BD2B23">
              <w:rPr>
                <w:rFonts w:ascii="Times New Roman" w:hAnsi="Times New Roman" w:cs="Times New Roman"/>
                <w:noProof/>
                <w:webHidden/>
              </w:rPr>
              <w:t>7</w:t>
            </w:r>
            <w:r w:rsidR="00C6537B" w:rsidRPr="00C7091C">
              <w:rPr>
                <w:rFonts w:ascii="Times New Roman" w:hAnsi="Times New Roman" w:cs="Times New Roman"/>
                <w:noProof/>
                <w:webHidden/>
              </w:rPr>
              <w:fldChar w:fldCharType="end"/>
            </w:r>
          </w:hyperlink>
        </w:p>
        <w:p w14:paraId="1048DFAB" w14:textId="77777777" w:rsidR="00C6537B" w:rsidRPr="00C7091C" w:rsidRDefault="005F3DFE">
          <w:pPr>
            <w:pStyle w:val="TOC1"/>
            <w:tabs>
              <w:tab w:val="right" w:leader="dot" w:pos="9346"/>
            </w:tabs>
            <w:rPr>
              <w:rFonts w:ascii="Times New Roman" w:eastAsiaTheme="minorEastAsia" w:hAnsi="Times New Roman" w:cs="Times New Roman"/>
              <w:b w:val="0"/>
              <w:bCs w:val="0"/>
              <w:noProof/>
              <w:lang w:eastAsia="bg-BG"/>
            </w:rPr>
          </w:pPr>
          <w:hyperlink w:anchor="_Toc535495179" w:history="1">
            <w:r w:rsidR="00C6537B" w:rsidRPr="00C7091C">
              <w:rPr>
                <w:rStyle w:val="Hyperlink"/>
                <w:rFonts w:ascii="Times New Roman" w:hAnsi="Times New Roman" w:cs="Times New Roman"/>
                <w:noProof/>
              </w:rPr>
              <w:t>7. Индикатори:</w:t>
            </w:r>
            <w:r w:rsidR="00C6537B" w:rsidRPr="00C7091C">
              <w:rPr>
                <w:rFonts w:ascii="Times New Roman" w:hAnsi="Times New Roman" w:cs="Times New Roman"/>
                <w:noProof/>
                <w:webHidden/>
              </w:rPr>
              <w:tab/>
            </w:r>
            <w:r w:rsidR="00C6537B" w:rsidRPr="00C7091C">
              <w:rPr>
                <w:rFonts w:ascii="Times New Roman" w:hAnsi="Times New Roman" w:cs="Times New Roman"/>
                <w:noProof/>
                <w:webHidden/>
              </w:rPr>
              <w:fldChar w:fldCharType="begin"/>
            </w:r>
            <w:r w:rsidR="00C6537B" w:rsidRPr="00C7091C">
              <w:rPr>
                <w:rFonts w:ascii="Times New Roman" w:hAnsi="Times New Roman" w:cs="Times New Roman"/>
                <w:noProof/>
                <w:webHidden/>
              </w:rPr>
              <w:instrText xml:space="preserve"> PAGEREF _Toc535495179 \h </w:instrText>
            </w:r>
            <w:r w:rsidR="00C6537B" w:rsidRPr="00C7091C">
              <w:rPr>
                <w:rFonts w:ascii="Times New Roman" w:hAnsi="Times New Roman" w:cs="Times New Roman"/>
                <w:noProof/>
                <w:webHidden/>
              </w:rPr>
            </w:r>
            <w:r w:rsidR="00C6537B" w:rsidRPr="00C7091C">
              <w:rPr>
                <w:rFonts w:ascii="Times New Roman" w:hAnsi="Times New Roman" w:cs="Times New Roman"/>
                <w:noProof/>
                <w:webHidden/>
              </w:rPr>
              <w:fldChar w:fldCharType="separate"/>
            </w:r>
            <w:r w:rsidR="00BD2B23">
              <w:rPr>
                <w:rFonts w:ascii="Times New Roman" w:hAnsi="Times New Roman" w:cs="Times New Roman"/>
                <w:noProof/>
                <w:webHidden/>
              </w:rPr>
              <w:t>8</w:t>
            </w:r>
            <w:r w:rsidR="00C6537B" w:rsidRPr="00C7091C">
              <w:rPr>
                <w:rFonts w:ascii="Times New Roman" w:hAnsi="Times New Roman" w:cs="Times New Roman"/>
                <w:noProof/>
                <w:webHidden/>
              </w:rPr>
              <w:fldChar w:fldCharType="end"/>
            </w:r>
          </w:hyperlink>
        </w:p>
        <w:p w14:paraId="56B97012" w14:textId="77777777" w:rsidR="00C6537B" w:rsidRPr="00C7091C" w:rsidRDefault="005F3DFE">
          <w:pPr>
            <w:pStyle w:val="TOC1"/>
            <w:tabs>
              <w:tab w:val="right" w:leader="dot" w:pos="9346"/>
            </w:tabs>
            <w:rPr>
              <w:rFonts w:ascii="Times New Roman" w:eastAsiaTheme="minorEastAsia" w:hAnsi="Times New Roman" w:cs="Times New Roman"/>
              <w:b w:val="0"/>
              <w:bCs w:val="0"/>
              <w:noProof/>
              <w:lang w:eastAsia="bg-BG"/>
            </w:rPr>
          </w:pPr>
          <w:hyperlink w:anchor="_Toc535495180" w:history="1">
            <w:r w:rsidR="00C6537B" w:rsidRPr="00C7091C">
              <w:rPr>
                <w:rStyle w:val="Hyperlink"/>
                <w:rFonts w:ascii="Times New Roman" w:hAnsi="Times New Roman" w:cs="Times New Roman"/>
                <w:noProof/>
              </w:rPr>
              <w:t>8. Общ размер на безвъзмездната финансова помощ по процедурата:</w:t>
            </w:r>
            <w:r w:rsidR="00C6537B" w:rsidRPr="00C7091C">
              <w:rPr>
                <w:rFonts w:ascii="Times New Roman" w:hAnsi="Times New Roman" w:cs="Times New Roman"/>
                <w:noProof/>
                <w:webHidden/>
              </w:rPr>
              <w:tab/>
            </w:r>
            <w:r w:rsidR="00C6537B" w:rsidRPr="00C7091C">
              <w:rPr>
                <w:rFonts w:ascii="Times New Roman" w:hAnsi="Times New Roman" w:cs="Times New Roman"/>
                <w:noProof/>
                <w:webHidden/>
              </w:rPr>
              <w:fldChar w:fldCharType="begin"/>
            </w:r>
            <w:r w:rsidR="00C6537B" w:rsidRPr="00C7091C">
              <w:rPr>
                <w:rFonts w:ascii="Times New Roman" w:hAnsi="Times New Roman" w:cs="Times New Roman"/>
                <w:noProof/>
                <w:webHidden/>
              </w:rPr>
              <w:instrText xml:space="preserve"> PAGEREF _Toc535495180 \h </w:instrText>
            </w:r>
            <w:r w:rsidR="00C6537B" w:rsidRPr="00C7091C">
              <w:rPr>
                <w:rFonts w:ascii="Times New Roman" w:hAnsi="Times New Roman" w:cs="Times New Roman"/>
                <w:noProof/>
                <w:webHidden/>
              </w:rPr>
            </w:r>
            <w:r w:rsidR="00C6537B" w:rsidRPr="00C7091C">
              <w:rPr>
                <w:rFonts w:ascii="Times New Roman" w:hAnsi="Times New Roman" w:cs="Times New Roman"/>
                <w:noProof/>
                <w:webHidden/>
              </w:rPr>
              <w:fldChar w:fldCharType="separate"/>
            </w:r>
            <w:r w:rsidR="00BD2B23">
              <w:rPr>
                <w:rFonts w:ascii="Times New Roman" w:hAnsi="Times New Roman" w:cs="Times New Roman"/>
                <w:noProof/>
                <w:webHidden/>
              </w:rPr>
              <w:t>9</w:t>
            </w:r>
            <w:r w:rsidR="00C6537B" w:rsidRPr="00C7091C">
              <w:rPr>
                <w:rFonts w:ascii="Times New Roman" w:hAnsi="Times New Roman" w:cs="Times New Roman"/>
                <w:noProof/>
                <w:webHidden/>
              </w:rPr>
              <w:fldChar w:fldCharType="end"/>
            </w:r>
          </w:hyperlink>
        </w:p>
        <w:p w14:paraId="230D5149" w14:textId="77777777" w:rsidR="00C6537B" w:rsidRPr="00C7091C" w:rsidRDefault="005F3DFE">
          <w:pPr>
            <w:pStyle w:val="TOC1"/>
            <w:tabs>
              <w:tab w:val="right" w:leader="dot" w:pos="9346"/>
            </w:tabs>
            <w:rPr>
              <w:rFonts w:ascii="Times New Roman" w:eastAsiaTheme="minorEastAsia" w:hAnsi="Times New Roman" w:cs="Times New Roman"/>
              <w:b w:val="0"/>
              <w:bCs w:val="0"/>
              <w:noProof/>
              <w:lang w:eastAsia="bg-BG"/>
            </w:rPr>
          </w:pPr>
          <w:hyperlink w:anchor="_Toc535495181" w:history="1">
            <w:r w:rsidR="00C6537B" w:rsidRPr="00C7091C">
              <w:rPr>
                <w:rStyle w:val="Hyperlink"/>
                <w:rFonts w:ascii="Times New Roman" w:hAnsi="Times New Roman" w:cs="Times New Roman"/>
                <w:noProof/>
              </w:rPr>
              <w:t>9. Минимален и максимален размер на безвъзмездната финансова помощ за конкретен проект:</w:t>
            </w:r>
            <w:r w:rsidR="00C6537B" w:rsidRPr="00C7091C">
              <w:rPr>
                <w:rFonts w:ascii="Times New Roman" w:hAnsi="Times New Roman" w:cs="Times New Roman"/>
                <w:noProof/>
                <w:webHidden/>
              </w:rPr>
              <w:tab/>
            </w:r>
            <w:r w:rsidR="00C6537B" w:rsidRPr="00C7091C">
              <w:rPr>
                <w:rFonts w:ascii="Times New Roman" w:hAnsi="Times New Roman" w:cs="Times New Roman"/>
                <w:noProof/>
                <w:webHidden/>
              </w:rPr>
              <w:fldChar w:fldCharType="begin"/>
            </w:r>
            <w:r w:rsidR="00C6537B" w:rsidRPr="00C7091C">
              <w:rPr>
                <w:rFonts w:ascii="Times New Roman" w:hAnsi="Times New Roman" w:cs="Times New Roman"/>
                <w:noProof/>
                <w:webHidden/>
              </w:rPr>
              <w:instrText xml:space="preserve"> PAGEREF _Toc535495181 \h </w:instrText>
            </w:r>
            <w:r w:rsidR="00C6537B" w:rsidRPr="00C7091C">
              <w:rPr>
                <w:rFonts w:ascii="Times New Roman" w:hAnsi="Times New Roman" w:cs="Times New Roman"/>
                <w:noProof/>
                <w:webHidden/>
              </w:rPr>
            </w:r>
            <w:r w:rsidR="00C6537B" w:rsidRPr="00C7091C">
              <w:rPr>
                <w:rFonts w:ascii="Times New Roman" w:hAnsi="Times New Roman" w:cs="Times New Roman"/>
                <w:noProof/>
                <w:webHidden/>
              </w:rPr>
              <w:fldChar w:fldCharType="separate"/>
            </w:r>
            <w:r w:rsidR="00BD2B23">
              <w:rPr>
                <w:rFonts w:ascii="Times New Roman" w:hAnsi="Times New Roman" w:cs="Times New Roman"/>
                <w:noProof/>
                <w:webHidden/>
              </w:rPr>
              <w:t>9</w:t>
            </w:r>
            <w:r w:rsidR="00C6537B" w:rsidRPr="00C7091C">
              <w:rPr>
                <w:rFonts w:ascii="Times New Roman" w:hAnsi="Times New Roman" w:cs="Times New Roman"/>
                <w:noProof/>
                <w:webHidden/>
              </w:rPr>
              <w:fldChar w:fldCharType="end"/>
            </w:r>
          </w:hyperlink>
        </w:p>
        <w:p w14:paraId="50F422D4" w14:textId="77777777" w:rsidR="00C6537B" w:rsidRPr="00C7091C" w:rsidRDefault="005F3DFE">
          <w:pPr>
            <w:pStyle w:val="TOC1"/>
            <w:tabs>
              <w:tab w:val="right" w:leader="dot" w:pos="9346"/>
            </w:tabs>
            <w:rPr>
              <w:rFonts w:ascii="Times New Roman" w:eastAsiaTheme="minorEastAsia" w:hAnsi="Times New Roman" w:cs="Times New Roman"/>
              <w:b w:val="0"/>
              <w:bCs w:val="0"/>
              <w:noProof/>
              <w:lang w:eastAsia="bg-BG"/>
            </w:rPr>
          </w:pPr>
          <w:hyperlink w:anchor="_Toc535495182" w:history="1">
            <w:r w:rsidR="00C6537B" w:rsidRPr="00C7091C">
              <w:rPr>
                <w:rStyle w:val="Hyperlink"/>
                <w:rFonts w:ascii="Times New Roman" w:hAnsi="Times New Roman" w:cs="Times New Roman"/>
                <w:noProof/>
              </w:rPr>
              <w:t>10. Процент на съфинансиране:</w:t>
            </w:r>
            <w:r w:rsidR="00C6537B" w:rsidRPr="00C7091C">
              <w:rPr>
                <w:rFonts w:ascii="Times New Roman" w:hAnsi="Times New Roman" w:cs="Times New Roman"/>
                <w:noProof/>
                <w:webHidden/>
              </w:rPr>
              <w:tab/>
            </w:r>
            <w:r w:rsidR="00C6537B" w:rsidRPr="00C7091C">
              <w:rPr>
                <w:rFonts w:ascii="Times New Roman" w:hAnsi="Times New Roman" w:cs="Times New Roman"/>
                <w:noProof/>
                <w:webHidden/>
              </w:rPr>
              <w:fldChar w:fldCharType="begin"/>
            </w:r>
            <w:r w:rsidR="00C6537B" w:rsidRPr="00C7091C">
              <w:rPr>
                <w:rFonts w:ascii="Times New Roman" w:hAnsi="Times New Roman" w:cs="Times New Roman"/>
                <w:noProof/>
                <w:webHidden/>
              </w:rPr>
              <w:instrText xml:space="preserve"> PAGEREF _Toc535495182 \h </w:instrText>
            </w:r>
            <w:r w:rsidR="00C6537B" w:rsidRPr="00C7091C">
              <w:rPr>
                <w:rFonts w:ascii="Times New Roman" w:hAnsi="Times New Roman" w:cs="Times New Roman"/>
                <w:noProof/>
                <w:webHidden/>
              </w:rPr>
            </w:r>
            <w:r w:rsidR="00C6537B" w:rsidRPr="00C7091C">
              <w:rPr>
                <w:rFonts w:ascii="Times New Roman" w:hAnsi="Times New Roman" w:cs="Times New Roman"/>
                <w:noProof/>
                <w:webHidden/>
              </w:rPr>
              <w:fldChar w:fldCharType="separate"/>
            </w:r>
            <w:r w:rsidR="00BD2B23">
              <w:rPr>
                <w:rFonts w:ascii="Times New Roman" w:hAnsi="Times New Roman" w:cs="Times New Roman"/>
                <w:noProof/>
                <w:webHidden/>
              </w:rPr>
              <w:t>10</w:t>
            </w:r>
            <w:r w:rsidR="00C6537B" w:rsidRPr="00C7091C">
              <w:rPr>
                <w:rFonts w:ascii="Times New Roman" w:hAnsi="Times New Roman" w:cs="Times New Roman"/>
                <w:noProof/>
                <w:webHidden/>
              </w:rPr>
              <w:fldChar w:fldCharType="end"/>
            </w:r>
          </w:hyperlink>
        </w:p>
        <w:p w14:paraId="40E8F987" w14:textId="77777777" w:rsidR="00C6537B" w:rsidRPr="00C7091C" w:rsidRDefault="005F3DFE">
          <w:pPr>
            <w:pStyle w:val="TOC1"/>
            <w:tabs>
              <w:tab w:val="right" w:leader="dot" w:pos="9346"/>
            </w:tabs>
            <w:rPr>
              <w:rFonts w:ascii="Times New Roman" w:eastAsiaTheme="minorEastAsia" w:hAnsi="Times New Roman" w:cs="Times New Roman"/>
              <w:b w:val="0"/>
              <w:bCs w:val="0"/>
              <w:noProof/>
              <w:lang w:eastAsia="bg-BG"/>
            </w:rPr>
          </w:pPr>
          <w:hyperlink w:anchor="_Toc535495183" w:history="1">
            <w:r w:rsidR="00C6537B" w:rsidRPr="00C7091C">
              <w:rPr>
                <w:rStyle w:val="Hyperlink"/>
                <w:rFonts w:ascii="Times New Roman" w:hAnsi="Times New Roman" w:cs="Times New Roman"/>
                <w:noProof/>
              </w:rPr>
              <w:t>11. Допустими кандидати:</w:t>
            </w:r>
            <w:r w:rsidR="00C6537B" w:rsidRPr="00C7091C">
              <w:rPr>
                <w:rFonts w:ascii="Times New Roman" w:hAnsi="Times New Roman" w:cs="Times New Roman"/>
                <w:noProof/>
                <w:webHidden/>
              </w:rPr>
              <w:tab/>
            </w:r>
            <w:r w:rsidR="00C6537B" w:rsidRPr="00C7091C">
              <w:rPr>
                <w:rFonts w:ascii="Times New Roman" w:hAnsi="Times New Roman" w:cs="Times New Roman"/>
                <w:noProof/>
                <w:webHidden/>
              </w:rPr>
              <w:fldChar w:fldCharType="begin"/>
            </w:r>
            <w:r w:rsidR="00C6537B" w:rsidRPr="00C7091C">
              <w:rPr>
                <w:rFonts w:ascii="Times New Roman" w:hAnsi="Times New Roman" w:cs="Times New Roman"/>
                <w:noProof/>
                <w:webHidden/>
              </w:rPr>
              <w:instrText xml:space="preserve"> PAGEREF _Toc535495183 \h </w:instrText>
            </w:r>
            <w:r w:rsidR="00C6537B" w:rsidRPr="00C7091C">
              <w:rPr>
                <w:rFonts w:ascii="Times New Roman" w:hAnsi="Times New Roman" w:cs="Times New Roman"/>
                <w:noProof/>
                <w:webHidden/>
              </w:rPr>
            </w:r>
            <w:r w:rsidR="00C6537B" w:rsidRPr="00C7091C">
              <w:rPr>
                <w:rFonts w:ascii="Times New Roman" w:hAnsi="Times New Roman" w:cs="Times New Roman"/>
                <w:noProof/>
                <w:webHidden/>
              </w:rPr>
              <w:fldChar w:fldCharType="separate"/>
            </w:r>
            <w:r w:rsidR="00BD2B23">
              <w:rPr>
                <w:rFonts w:ascii="Times New Roman" w:hAnsi="Times New Roman" w:cs="Times New Roman"/>
                <w:noProof/>
                <w:webHidden/>
              </w:rPr>
              <w:t>10</w:t>
            </w:r>
            <w:r w:rsidR="00C6537B" w:rsidRPr="00C7091C">
              <w:rPr>
                <w:rFonts w:ascii="Times New Roman" w:hAnsi="Times New Roman" w:cs="Times New Roman"/>
                <w:noProof/>
                <w:webHidden/>
              </w:rPr>
              <w:fldChar w:fldCharType="end"/>
            </w:r>
          </w:hyperlink>
        </w:p>
        <w:p w14:paraId="44B99A11" w14:textId="77777777" w:rsidR="00C6537B" w:rsidRPr="00C7091C" w:rsidRDefault="005F3DFE">
          <w:pPr>
            <w:pStyle w:val="TOC2"/>
            <w:tabs>
              <w:tab w:val="right" w:leader="dot" w:pos="9346"/>
            </w:tabs>
            <w:rPr>
              <w:rFonts w:ascii="Times New Roman" w:eastAsiaTheme="minorEastAsia" w:hAnsi="Times New Roman" w:cs="Times New Roman"/>
              <w:b w:val="0"/>
              <w:bCs w:val="0"/>
              <w:noProof/>
              <w:sz w:val="24"/>
              <w:szCs w:val="24"/>
              <w:lang w:eastAsia="bg-BG"/>
            </w:rPr>
          </w:pPr>
          <w:hyperlink w:anchor="_Toc535495184" w:history="1">
            <w:r w:rsidR="00C6537B" w:rsidRPr="00C7091C">
              <w:rPr>
                <w:rStyle w:val="Hyperlink"/>
                <w:rFonts w:ascii="Times New Roman" w:hAnsi="Times New Roman" w:cs="Times New Roman"/>
                <w:noProof/>
                <w:sz w:val="24"/>
                <w:szCs w:val="24"/>
              </w:rPr>
              <w:t>11.1. Критерии за допустимост на кандидатите:</w:t>
            </w:r>
            <w:r w:rsidR="00C6537B" w:rsidRPr="00C7091C">
              <w:rPr>
                <w:rFonts w:ascii="Times New Roman" w:hAnsi="Times New Roman" w:cs="Times New Roman"/>
                <w:noProof/>
                <w:webHidden/>
                <w:sz w:val="24"/>
                <w:szCs w:val="24"/>
              </w:rPr>
              <w:tab/>
            </w:r>
            <w:r w:rsidR="00C6537B" w:rsidRPr="00C7091C">
              <w:rPr>
                <w:rFonts w:ascii="Times New Roman" w:hAnsi="Times New Roman" w:cs="Times New Roman"/>
                <w:noProof/>
                <w:webHidden/>
                <w:sz w:val="24"/>
                <w:szCs w:val="24"/>
              </w:rPr>
              <w:fldChar w:fldCharType="begin"/>
            </w:r>
            <w:r w:rsidR="00C6537B" w:rsidRPr="00C7091C">
              <w:rPr>
                <w:rFonts w:ascii="Times New Roman" w:hAnsi="Times New Roman" w:cs="Times New Roman"/>
                <w:noProof/>
                <w:webHidden/>
                <w:sz w:val="24"/>
                <w:szCs w:val="24"/>
              </w:rPr>
              <w:instrText xml:space="preserve"> PAGEREF _Toc535495184 \h </w:instrText>
            </w:r>
            <w:r w:rsidR="00C6537B" w:rsidRPr="00C7091C">
              <w:rPr>
                <w:rFonts w:ascii="Times New Roman" w:hAnsi="Times New Roman" w:cs="Times New Roman"/>
                <w:noProof/>
                <w:webHidden/>
                <w:sz w:val="24"/>
                <w:szCs w:val="24"/>
              </w:rPr>
            </w:r>
            <w:r w:rsidR="00C6537B" w:rsidRPr="00C7091C">
              <w:rPr>
                <w:rFonts w:ascii="Times New Roman" w:hAnsi="Times New Roman" w:cs="Times New Roman"/>
                <w:noProof/>
                <w:webHidden/>
                <w:sz w:val="24"/>
                <w:szCs w:val="24"/>
              </w:rPr>
              <w:fldChar w:fldCharType="separate"/>
            </w:r>
            <w:r w:rsidR="00BD2B23">
              <w:rPr>
                <w:rFonts w:ascii="Times New Roman" w:hAnsi="Times New Roman" w:cs="Times New Roman"/>
                <w:noProof/>
                <w:webHidden/>
                <w:sz w:val="24"/>
                <w:szCs w:val="24"/>
              </w:rPr>
              <w:t>10</w:t>
            </w:r>
            <w:r w:rsidR="00C6537B" w:rsidRPr="00C7091C">
              <w:rPr>
                <w:rFonts w:ascii="Times New Roman" w:hAnsi="Times New Roman" w:cs="Times New Roman"/>
                <w:noProof/>
                <w:webHidden/>
                <w:sz w:val="24"/>
                <w:szCs w:val="24"/>
              </w:rPr>
              <w:fldChar w:fldCharType="end"/>
            </w:r>
          </w:hyperlink>
        </w:p>
        <w:p w14:paraId="1F5858D7" w14:textId="77777777" w:rsidR="00C6537B" w:rsidRPr="00C7091C" w:rsidRDefault="005F3DFE">
          <w:pPr>
            <w:pStyle w:val="TOC1"/>
            <w:tabs>
              <w:tab w:val="right" w:leader="dot" w:pos="9346"/>
            </w:tabs>
            <w:rPr>
              <w:rFonts w:ascii="Times New Roman" w:eastAsiaTheme="minorEastAsia" w:hAnsi="Times New Roman" w:cs="Times New Roman"/>
              <w:b w:val="0"/>
              <w:bCs w:val="0"/>
              <w:noProof/>
              <w:lang w:eastAsia="bg-BG"/>
            </w:rPr>
          </w:pPr>
          <w:hyperlink w:anchor="_Toc535495185" w:history="1">
            <w:r w:rsidR="00C6537B" w:rsidRPr="00C7091C">
              <w:rPr>
                <w:rStyle w:val="Hyperlink"/>
                <w:rFonts w:ascii="Times New Roman" w:hAnsi="Times New Roman" w:cs="Times New Roman"/>
                <w:noProof/>
              </w:rPr>
              <w:t>12. Допустими партньори</w:t>
            </w:r>
            <w:r w:rsidR="00C6537B" w:rsidRPr="00C7091C">
              <w:rPr>
                <w:rFonts w:ascii="Times New Roman" w:hAnsi="Times New Roman" w:cs="Times New Roman"/>
                <w:noProof/>
                <w:webHidden/>
              </w:rPr>
              <w:tab/>
            </w:r>
            <w:r w:rsidR="00C6537B" w:rsidRPr="00C7091C">
              <w:rPr>
                <w:rFonts w:ascii="Times New Roman" w:hAnsi="Times New Roman" w:cs="Times New Roman"/>
                <w:noProof/>
                <w:webHidden/>
              </w:rPr>
              <w:fldChar w:fldCharType="begin"/>
            </w:r>
            <w:r w:rsidR="00C6537B" w:rsidRPr="00C7091C">
              <w:rPr>
                <w:rFonts w:ascii="Times New Roman" w:hAnsi="Times New Roman" w:cs="Times New Roman"/>
                <w:noProof/>
                <w:webHidden/>
              </w:rPr>
              <w:instrText xml:space="preserve"> PAGEREF _Toc535495185 \h </w:instrText>
            </w:r>
            <w:r w:rsidR="00C6537B" w:rsidRPr="00C7091C">
              <w:rPr>
                <w:rFonts w:ascii="Times New Roman" w:hAnsi="Times New Roman" w:cs="Times New Roman"/>
                <w:noProof/>
                <w:webHidden/>
              </w:rPr>
            </w:r>
            <w:r w:rsidR="00C6537B" w:rsidRPr="00C7091C">
              <w:rPr>
                <w:rFonts w:ascii="Times New Roman" w:hAnsi="Times New Roman" w:cs="Times New Roman"/>
                <w:noProof/>
                <w:webHidden/>
              </w:rPr>
              <w:fldChar w:fldCharType="separate"/>
            </w:r>
            <w:r w:rsidR="00BD2B23">
              <w:rPr>
                <w:rFonts w:ascii="Times New Roman" w:hAnsi="Times New Roman" w:cs="Times New Roman"/>
                <w:noProof/>
                <w:webHidden/>
              </w:rPr>
              <w:t>13</w:t>
            </w:r>
            <w:r w:rsidR="00C6537B" w:rsidRPr="00C7091C">
              <w:rPr>
                <w:rFonts w:ascii="Times New Roman" w:hAnsi="Times New Roman" w:cs="Times New Roman"/>
                <w:noProof/>
                <w:webHidden/>
              </w:rPr>
              <w:fldChar w:fldCharType="end"/>
            </w:r>
          </w:hyperlink>
        </w:p>
        <w:p w14:paraId="1B5501B4" w14:textId="77777777" w:rsidR="00C6537B" w:rsidRPr="00C7091C" w:rsidRDefault="005F3DFE">
          <w:pPr>
            <w:pStyle w:val="TOC1"/>
            <w:tabs>
              <w:tab w:val="right" w:leader="dot" w:pos="9346"/>
            </w:tabs>
            <w:rPr>
              <w:rFonts w:ascii="Times New Roman" w:eastAsiaTheme="minorEastAsia" w:hAnsi="Times New Roman" w:cs="Times New Roman"/>
              <w:b w:val="0"/>
              <w:bCs w:val="0"/>
              <w:noProof/>
              <w:lang w:eastAsia="bg-BG"/>
            </w:rPr>
          </w:pPr>
          <w:hyperlink w:anchor="_Toc535495186" w:history="1">
            <w:r w:rsidR="00C6537B" w:rsidRPr="00C7091C">
              <w:rPr>
                <w:rStyle w:val="Hyperlink"/>
                <w:rFonts w:ascii="Times New Roman" w:hAnsi="Times New Roman" w:cs="Times New Roman"/>
                <w:noProof/>
              </w:rPr>
              <w:t>13. Дейности, допустими за финансиране:</w:t>
            </w:r>
            <w:r w:rsidR="00C6537B" w:rsidRPr="00C7091C">
              <w:rPr>
                <w:rFonts w:ascii="Times New Roman" w:hAnsi="Times New Roman" w:cs="Times New Roman"/>
                <w:noProof/>
                <w:webHidden/>
              </w:rPr>
              <w:tab/>
            </w:r>
            <w:r w:rsidR="00C6537B" w:rsidRPr="00C7091C">
              <w:rPr>
                <w:rFonts w:ascii="Times New Roman" w:hAnsi="Times New Roman" w:cs="Times New Roman"/>
                <w:noProof/>
                <w:webHidden/>
              </w:rPr>
              <w:fldChar w:fldCharType="begin"/>
            </w:r>
            <w:r w:rsidR="00C6537B" w:rsidRPr="00C7091C">
              <w:rPr>
                <w:rFonts w:ascii="Times New Roman" w:hAnsi="Times New Roman" w:cs="Times New Roman"/>
                <w:noProof/>
                <w:webHidden/>
              </w:rPr>
              <w:instrText xml:space="preserve"> PAGEREF _Toc535495186 \h </w:instrText>
            </w:r>
            <w:r w:rsidR="00C6537B" w:rsidRPr="00C7091C">
              <w:rPr>
                <w:rFonts w:ascii="Times New Roman" w:hAnsi="Times New Roman" w:cs="Times New Roman"/>
                <w:noProof/>
                <w:webHidden/>
              </w:rPr>
            </w:r>
            <w:r w:rsidR="00C6537B" w:rsidRPr="00C7091C">
              <w:rPr>
                <w:rFonts w:ascii="Times New Roman" w:hAnsi="Times New Roman" w:cs="Times New Roman"/>
                <w:noProof/>
                <w:webHidden/>
              </w:rPr>
              <w:fldChar w:fldCharType="separate"/>
            </w:r>
            <w:r w:rsidR="00BD2B23">
              <w:rPr>
                <w:rFonts w:ascii="Times New Roman" w:hAnsi="Times New Roman" w:cs="Times New Roman"/>
                <w:noProof/>
                <w:webHidden/>
              </w:rPr>
              <w:t>13</w:t>
            </w:r>
            <w:r w:rsidR="00C6537B" w:rsidRPr="00C7091C">
              <w:rPr>
                <w:rFonts w:ascii="Times New Roman" w:hAnsi="Times New Roman" w:cs="Times New Roman"/>
                <w:noProof/>
                <w:webHidden/>
              </w:rPr>
              <w:fldChar w:fldCharType="end"/>
            </w:r>
          </w:hyperlink>
        </w:p>
        <w:p w14:paraId="272F28D0" w14:textId="77777777" w:rsidR="00C6537B" w:rsidRPr="00C7091C" w:rsidRDefault="005F3DFE">
          <w:pPr>
            <w:pStyle w:val="TOC2"/>
            <w:tabs>
              <w:tab w:val="right" w:leader="dot" w:pos="9346"/>
            </w:tabs>
            <w:rPr>
              <w:rFonts w:ascii="Times New Roman" w:eastAsiaTheme="minorEastAsia" w:hAnsi="Times New Roman" w:cs="Times New Roman"/>
              <w:b w:val="0"/>
              <w:bCs w:val="0"/>
              <w:noProof/>
              <w:sz w:val="24"/>
              <w:szCs w:val="24"/>
              <w:lang w:eastAsia="bg-BG"/>
            </w:rPr>
          </w:pPr>
          <w:hyperlink w:anchor="_Toc535495187" w:history="1">
            <w:r w:rsidR="00C6537B" w:rsidRPr="00C7091C">
              <w:rPr>
                <w:rStyle w:val="Hyperlink"/>
                <w:rFonts w:ascii="Times New Roman" w:hAnsi="Times New Roman" w:cs="Times New Roman"/>
                <w:noProof/>
                <w:sz w:val="24"/>
                <w:szCs w:val="24"/>
              </w:rPr>
              <w:t>13.2. Условия за допустимост на дейностите:</w:t>
            </w:r>
            <w:r w:rsidR="00C6537B" w:rsidRPr="00C7091C">
              <w:rPr>
                <w:rFonts w:ascii="Times New Roman" w:hAnsi="Times New Roman" w:cs="Times New Roman"/>
                <w:noProof/>
                <w:webHidden/>
                <w:sz w:val="24"/>
                <w:szCs w:val="24"/>
              </w:rPr>
              <w:tab/>
            </w:r>
            <w:r w:rsidR="00C6537B" w:rsidRPr="00C7091C">
              <w:rPr>
                <w:rFonts w:ascii="Times New Roman" w:hAnsi="Times New Roman" w:cs="Times New Roman"/>
                <w:noProof/>
                <w:webHidden/>
                <w:sz w:val="24"/>
                <w:szCs w:val="24"/>
              </w:rPr>
              <w:fldChar w:fldCharType="begin"/>
            </w:r>
            <w:r w:rsidR="00C6537B" w:rsidRPr="00C7091C">
              <w:rPr>
                <w:rFonts w:ascii="Times New Roman" w:hAnsi="Times New Roman" w:cs="Times New Roman"/>
                <w:noProof/>
                <w:webHidden/>
                <w:sz w:val="24"/>
                <w:szCs w:val="24"/>
              </w:rPr>
              <w:instrText xml:space="preserve"> PAGEREF _Toc535495187 \h </w:instrText>
            </w:r>
            <w:r w:rsidR="00C6537B" w:rsidRPr="00C7091C">
              <w:rPr>
                <w:rFonts w:ascii="Times New Roman" w:hAnsi="Times New Roman" w:cs="Times New Roman"/>
                <w:noProof/>
                <w:webHidden/>
                <w:sz w:val="24"/>
                <w:szCs w:val="24"/>
              </w:rPr>
            </w:r>
            <w:r w:rsidR="00C6537B" w:rsidRPr="00C7091C">
              <w:rPr>
                <w:rFonts w:ascii="Times New Roman" w:hAnsi="Times New Roman" w:cs="Times New Roman"/>
                <w:noProof/>
                <w:webHidden/>
                <w:sz w:val="24"/>
                <w:szCs w:val="24"/>
              </w:rPr>
              <w:fldChar w:fldCharType="separate"/>
            </w:r>
            <w:r w:rsidR="00BD2B23">
              <w:rPr>
                <w:rFonts w:ascii="Times New Roman" w:hAnsi="Times New Roman" w:cs="Times New Roman"/>
                <w:noProof/>
                <w:webHidden/>
                <w:sz w:val="24"/>
                <w:szCs w:val="24"/>
              </w:rPr>
              <w:t>14</w:t>
            </w:r>
            <w:r w:rsidR="00C6537B" w:rsidRPr="00C7091C">
              <w:rPr>
                <w:rFonts w:ascii="Times New Roman" w:hAnsi="Times New Roman" w:cs="Times New Roman"/>
                <w:noProof/>
                <w:webHidden/>
                <w:sz w:val="24"/>
                <w:szCs w:val="24"/>
              </w:rPr>
              <w:fldChar w:fldCharType="end"/>
            </w:r>
          </w:hyperlink>
        </w:p>
        <w:p w14:paraId="573D85E8" w14:textId="77777777" w:rsidR="00C6537B" w:rsidRPr="00C7091C" w:rsidRDefault="005F3DFE">
          <w:pPr>
            <w:pStyle w:val="TOC2"/>
            <w:tabs>
              <w:tab w:val="right" w:leader="dot" w:pos="9346"/>
            </w:tabs>
            <w:rPr>
              <w:rFonts w:ascii="Times New Roman" w:eastAsiaTheme="minorEastAsia" w:hAnsi="Times New Roman" w:cs="Times New Roman"/>
              <w:b w:val="0"/>
              <w:bCs w:val="0"/>
              <w:noProof/>
              <w:sz w:val="24"/>
              <w:szCs w:val="24"/>
              <w:lang w:eastAsia="bg-BG"/>
            </w:rPr>
          </w:pPr>
          <w:hyperlink w:anchor="_Toc535495188" w:history="1">
            <w:r w:rsidR="00C6537B" w:rsidRPr="00C7091C">
              <w:rPr>
                <w:rStyle w:val="Hyperlink"/>
                <w:rFonts w:ascii="Times New Roman" w:hAnsi="Times New Roman" w:cs="Times New Roman"/>
                <w:noProof/>
                <w:sz w:val="24"/>
                <w:szCs w:val="24"/>
              </w:rPr>
              <w:t>13.3. Недопустими дейности</w:t>
            </w:r>
            <w:r w:rsidR="00C6537B" w:rsidRPr="00C7091C">
              <w:rPr>
                <w:rFonts w:ascii="Times New Roman" w:hAnsi="Times New Roman" w:cs="Times New Roman"/>
                <w:noProof/>
                <w:webHidden/>
                <w:sz w:val="24"/>
                <w:szCs w:val="24"/>
              </w:rPr>
              <w:tab/>
            </w:r>
            <w:r w:rsidR="00C6537B" w:rsidRPr="00C7091C">
              <w:rPr>
                <w:rFonts w:ascii="Times New Roman" w:hAnsi="Times New Roman" w:cs="Times New Roman"/>
                <w:noProof/>
                <w:webHidden/>
                <w:sz w:val="24"/>
                <w:szCs w:val="24"/>
              </w:rPr>
              <w:fldChar w:fldCharType="begin"/>
            </w:r>
            <w:r w:rsidR="00C6537B" w:rsidRPr="00C7091C">
              <w:rPr>
                <w:rFonts w:ascii="Times New Roman" w:hAnsi="Times New Roman" w:cs="Times New Roman"/>
                <w:noProof/>
                <w:webHidden/>
                <w:sz w:val="24"/>
                <w:szCs w:val="24"/>
              </w:rPr>
              <w:instrText xml:space="preserve"> PAGEREF _Toc535495188 \h </w:instrText>
            </w:r>
            <w:r w:rsidR="00C6537B" w:rsidRPr="00C7091C">
              <w:rPr>
                <w:rFonts w:ascii="Times New Roman" w:hAnsi="Times New Roman" w:cs="Times New Roman"/>
                <w:noProof/>
                <w:webHidden/>
                <w:sz w:val="24"/>
                <w:szCs w:val="24"/>
              </w:rPr>
            </w:r>
            <w:r w:rsidR="00C6537B" w:rsidRPr="00C7091C">
              <w:rPr>
                <w:rFonts w:ascii="Times New Roman" w:hAnsi="Times New Roman" w:cs="Times New Roman"/>
                <w:noProof/>
                <w:webHidden/>
                <w:sz w:val="24"/>
                <w:szCs w:val="24"/>
              </w:rPr>
              <w:fldChar w:fldCharType="separate"/>
            </w:r>
            <w:r w:rsidR="00BD2B23">
              <w:rPr>
                <w:rFonts w:ascii="Times New Roman" w:hAnsi="Times New Roman" w:cs="Times New Roman"/>
                <w:noProof/>
                <w:webHidden/>
                <w:sz w:val="24"/>
                <w:szCs w:val="24"/>
              </w:rPr>
              <w:t>16</w:t>
            </w:r>
            <w:r w:rsidR="00C6537B" w:rsidRPr="00C7091C">
              <w:rPr>
                <w:rFonts w:ascii="Times New Roman" w:hAnsi="Times New Roman" w:cs="Times New Roman"/>
                <w:noProof/>
                <w:webHidden/>
                <w:sz w:val="24"/>
                <w:szCs w:val="24"/>
              </w:rPr>
              <w:fldChar w:fldCharType="end"/>
            </w:r>
          </w:hyperlink>
        </w:p>
        <w:p w14:paraId="6E470705" w14:textId="77777777" w:rsidR="00C6537B" w:rsidRPr="00C7091C" w:rsidRDefault="005F3DFE">
          <w:pPr>
            <w:pStyle w:val="TOC1"/>
            <w:tabs>
              <w:tab w:val="right" w:leader="dot" w:pos="9346"/>
            </w:tabs>
            <w:rPr>
              <w:rFonts w:ascii="Times New Roman" w:eastAsiaTheme="minorEastAsia" w:hAnsi="Times New Roman" w:cs="Times New Roman"/>
              <w:b w:val="0"/>
              <w:bCs w:val="0"/>
              <w:noProof/>
              <w:lang w:eastAsia="bg-BG"/>
            </w:rPr>
          </w:pPr>
          <w:hyperlink w:anchor="_Toc535495189" w:history="1">
            <w:r w:rsidR="00C6537B" w:rsidRPr="00C7091C">
              <w:rPr>
                <w:rStyle w:val="Hyperlink"/>
                <w:rFonts w:ascii="Times New Roman" w:hAnsi="Times New Roman" w:cs="Times New Roman"/>
                <w:noProof/>
              </w:rPr>
              <w:t>14. Категории разходи, допустими за финансиране:</w:t>
            </w:r>
            <w:r w:rsidR="00C6537B" w:rsidRPr="00C7091C">
              <w:rPr>
                <w:rFonts w:ascii="Times New Roman" w:hAnsi="Times New Roman" w:cs="Times New Roman"/>
                <w:noProof/>
                <w:webHidden/>
              </w:rPr>
              <w:tab/>
            </w:r>
            <w:r w:rsidR="00C6537B" w:rsidRPr="00C7091C">
              <w:rPr>
                <w:rFonts w:ascii="Times New Roman" w:hAnsi="Times New Roman" w:cs="Times New Roman"/>
                <w:noProof/>
                <w:webHidden/>
              </w:rPr>
              <w:fldChar w:fldCharType="begin"/>
            </w:r>
            <w:r w:rsidR="00C6537B" w:rsidRPr="00C7091C">
              <w:rPr>
                <w:rFonts w:ascii="Times New Roman" w:hAnsi="Times New Roman" w:cs="Times New Roman"/>
                <w:noProof/>
                <w:webHidden/>
              </w:rPr>
              <w:instrText xml:space="preserve"> PAGEREF _Toc535495189 \h </w:instrText>
            </w:r>
            <w:r w:rsidR="00C6537B" w:rsidRPr="00C7091C">
              <w:rPr>
                <w:rFonts w:ascii="Times New Roman" w:hAnsi="Times New Roman" w:cs="Times New Roman"/>
                <w:noProof/>
                <w:webHidden/>
              </w:rPr>
            </w:r>
            <w:r w:rsidR="00C6537B" w:rsidRPr="00C7091C">
              <w:rPr>
                <w:rFonts w:ascii="Times New Roman" w:hAnsi="Times New Roman" w:cs="Times New Roman"/>
                <w:noProof/>
                <w:webHidden/>
              </w:rPr>
              <w:fldChar w:fldCharType="separate"/>
            </w:r>
            <w:r w:rsidR="00BD2B23">
              <w:rPr>
                <w:rFonts w:ascii="Times New Roman" w:hAnsi="Times New Roman" w:cs="Times New Roman"/>
                <w:noProof/>
                <w:webHidden/>
              </w:rPr>
              <w:t>16</w:t>
            </w:r>
            <w:r w:rsidR="00C6537B" w:rsidRPr="00C7091C">
              <w:rPr>
                <w:rFonts w:ascii="Times New Roman" w:hAnsi="Times New Roman" w:cs="Times New Roman"/>
                <w:noProof/>
                <w:webHidden/>
              </w:rPr>
              <w:fldChar w:fldCharType="end"/>
            </w:r>
          </w:hyperlink>
        </w:p>
        <w:p w14:paraId="35E540AE" w14:textId="77777777" w:rsidR="00C6537B" w:rsidRPr="00C7091C" w:rsidRDefault="005F3DFE">
          <w:pPr>
            <w:pStyle w:val="TOC2"/>
            <w:tabs>
              <w:tab w:val="right" w:leader="dot" w:pos="9346"/>
            </w:tabs>
            <w:rPr>
              <w:rFonts w:ascii="Times New Roman" w:eastAsiaTheme="minorEastAsia" w:hAnsi="Times New Roman" w:cs="Times New Roman"/>
              <w:b w:val="0"/>
              <w:bCs w:val="0"/>
              <w:noProof/>
              <w:sz w:val="24"/>
              <w:szCs w:val="24"/>
              <w:lang w:eastAsia="bg-BG"/>
            </w:rPr>
          </w:pPr>
          <w:hyperlink w:anchor="_Toc535495190" w:history="1">
            <w:r w:rsidR="00C6537B" w:rsidRPr="00C7091C">
              <w:rPr>
                <w:rStyle w:val="Hyperlink"/>
                <w:rFonts w:ascii="Times New Roman" w:hAnsi="Times New Roman" w:cs="Times New Roman"/>
                <w:noProof/>
                <w:sz w:val="24"/>
                <w:szCs w:val="24"/>
              </w:rPr>
              <w:t>14.1. Допустими разходи</w:t>
            </w:r>
            <w:r w:rsidR="00C6537B" w:rsidRPr="00C7091C">
              <w:rPr>
                <w:rFonts w:ascii="Times New Roman" w:hAnsi="Times New Roman" w:cs="Times New Roman"/>
                <w:noProof/>
                <w:webHidden/>
                <w:sz w:val="24"/>
                <w:szCs w:val="24"/>
              </w:rPr>
              <w:tab/>
            </w:r>
            <w:r w:rsidR="00C6537B" w:rsidRPr="00C7091C">
              <w:rPr>
                <w:rFonts w:ascii="Times New Roman" w:hAnsi="Times New Roman" w:cs="Times New Roman"/>
                <w:noProof/>
                <w:webHidden/>
                <w:sz w:val="24"/>
                <w:szCs w:val="24"/>
              </w:rPr>
              <w:fldChar w:fldCharType="begin"/>
            </w:r>
            <w:r w:rsidR="00C6537B" w:rsidRPr="00C7091C">
              <w:rPr>
                <w:rFonts w:ascii="Times New Roman" w:hAnsi="Times New Roman" w:cs="Times New Roman"/>
                <w:noProof/>
                <w:webHidden/>
                <w:sz w:val="24"/>
                <w:szCs w:val="24"/>
              </w:rPr>
              <w:instrText xml:space="preserve"> PAGEREF _Toc535495190 \h </w:instrText>
            </w:r>
            <w:r w:rsidR="00C6537B" w:rsidRPr="00C7091C">
              <w:rPr>
                <w:rFonts w:ascii="Times New Roman" w:hAnsi="Times New Roman" w:cs="Times New Roman"/>
                <w:noProof/>
                <w:webHidden/>
                <w:sz w:val="24"/>
                <w:szCs w:val="24"/>
              </w:rPr>
            </w:r>
            <w:r w:rsidR="00C6537B" w:rsidRPr="00C7091C">
              <w:rPr>
                <w:rFonts w:ascii="Times New Roman" w:hAnsi="Times New Roman" w:cs="Times New Roman"/>
                <w:noProof/>
                <w:webHidden/>
                <w:sz w:val="24"/>
                <w:szCs w:val="24"/>
              </w:rPr>
              <w:fldChar w:fldCharType="separate"/>
            </w:r>
            <w:r w:rsidR="00BD2B23">
              <w:rPr>
                <w:rFonts w:ascii="Times New Roman" w:hAnsi="Times New Roman" w:cs="Times New Roman"/>
                <w:noProof/>
                <w:webHidden/>
                <w:sz w:val="24"/>
                <w:szCs w:val="24"/>
              </w:rPr>
              <w:t>16</w:t>
            </w:r>
            <w:r w:rsidR="00C6537B" w:rsidRPr="00C7091C">
              <w:rPr>
                <w:rFonts w:ascii="Times New Roman" w:hAnsi="Times New Roman" w:cs="Times New Roman"/>
                <w:noProof/>
                <w:webHidden/>
                <w:sz w:val="24"/>
                <w:szCs w:val="24"/>
              </w:rPr>
              <w:fldChar w:fldCharType="end"/>
            </w:r>
          </w:hyperlink>
        </w:p>
        <w:p w14:paraId="36EF2269" w14:textId="77777777" w:rsidR="00C6537B" w:rsidRPr="00C7091C" w:rsidRDefault="005F3DFE">
          <w:pPr>
            <w:pStyle w:val="TOC2"/>
            <w:tabs>
              <w:tab w:val="right" w:leader="dot" w:pos="9346"/>
            </w:tabs>
            <w:rPr>
              <w:rFonts w:ascii="Times New Roman" w:eastAsiaTheme="minorEastAsia" w:hAnsi="Times New Roman" w:cs="Times New Roman"/>
              <w:b w:val="0"/>
              <w:bCs w:val="0"/>
              <w:noProof/>
              <w:sz w:val="24"/>
              <w:szCs w:val="24"/>
              <w:lang w:eastAsia="bg-BG"/>
            </w:rPr>
          </w:pPr>
          <w:hyperlink w:anchor="_Toc535495191" w:history="1">
            <w:r w:rsidR="00C6537B" w:rsidRPr="00C7091C">
              <w:rPr>
                <w:rStyle w:val="Hyperlink"/>
                <w:rFonts w:ascii="Times New Roman" w:hAnsi="Times New Roman" w:cs="Times New Roman"/>
                <w:noProof/>
                <w:sz w:val="24"/>
                <w:szCs w:val="24"/>
              </w:rPr>
              <w:t>14.2. Условия за допустимост на разходите</w:t>
            </w:r>
            <w:r w:rsidR="00C6537B" w:rsidRPr="00C7091C">
              <w:rPr>
                <w:rFonts w:ascii="Times New Roman" w:hAnsi="Times New Roman" w:cs="Times New Roman"/>
                <w:noProof/>
                <w:webHidden/>
                <w:sz w:val="24"/>
                <w:szCs w:val="24"/>
              </w:rPr>
              <w:tab/>
            </w:r>
            <w:r w:rsidR="00C6537B" w:rsidRPr="00C7091C">
              <w:rPr>
                <w:rFonts w:ascii="Times New Roman" w:hAnsi="Times New Roman" w:cs="Times New Roman"/>
                <w:noProof/>
                <w:webHidden/>
                <w:sz w:val="24"/>
                <w:szCs w:val="24"/>
              </w:rPr>
              <w:fldChar w:fldCharType="begin"/>
            </w:r>
            <w:r w:rsidR="00C6537B" w:rsidRPr="00C7091C">
              <w:rPr>
                <w:rFonts w:ascii="Times New Roman" w:hAnsi="Times New Roman" w:cs="Times New Roman"/>
                <w:noProof/>
                <w:webHidden/>
                <w:sz w:val="24"/>
                <w:szCs w:val="24"/>
              </w:rPr>
              <w:instrText xml:space="preserve"> PAGEREF _Toc535495191 \h </w:instrText>
            </w:r>
            <w:r w:rsidR="00C6537B" w:rsidRPr="00C7091C">
              <w:rPr>
                <w:rFonts w:ascii="Times New Roman" w:hAnsi="Times New Roman" w:cs="Times New Roman"/>
                <w:noProof/>
                <w:webHidden/>
                <w:sz w:val="24"/>
                <w:szCs w:val="24"/>
              </w:rPr>
            </w:r>
            <w:r w:rsidR="00C6537B" w:rsidRPr="00C7091C">
              <w:rPr>
                <w:rFonts w:ascii="Times New Roman" w:hAnsi="Times New Roman" w:cs="Times New Roman"/>
                <w:noProof/>
                <w:webHidden/>
                <w:sz w:val="24"/>
                <w:szCs w:val="24"/>
              </w:rPr>
              <w:fldChar w:fldCharType="separate"/>
            </w:r>
            <w:r w:rsidR="00BD2B23">
              <w:rPr>
                <w:rFonts w:ascii="Times New Roman" w:hAnsi="Times New Roman" w:cs="Times New Roman"/>
                <w:noProof/>
                <w:webHidden/>
                <w:sz w:val="24"/>
                <w:szCs w:val="24"/>
              </w:rPr>
              <w:t>18</w:t>
            </w:r>
            <w:r w:rsidR="00C6537B" w:rsidRPr="00C7091C">
              <w:rPr>
                <w:rFonts w:ascii="Times New Roman" w:hAnsi="Times New Roman" w:cs="Times New Roman"/>
                <w:noProof/>
                <w:webHidden/>
                <w:sz w:val="24"/>
                <w:szCs w:val="24"/>
              </w:rPr>
              <w:fldChar w:fldCharType="end"/>
            </w:r>
          </w:hyperlink>
        </w:p>
        <w:p w14:paraId="0F07EFC3" w14:textId="77777777" w:rsidR="00C6537B" w:rsidRPr="00C7091C" w:rsidRDefault="005F3DFE">
          <w:pPr>
            <w:pStyle w:val="TOC2"/>
            <w:tabs>
              <w:tab w:val="right" w:leader="dot" w:pos="9346"/>
            </w:tabs>
            <w:rPr>
              <w:rFonts w:ascii="Times New Roman" w:eastAsiaTheme="minorEastAsia" w:hAnsi="Times New Roman" w:cs="Times New Roman"/>
              <w:b w:val="0"/>
              <w:bCs w:val="0"/>
              <w:noProof/>
              <w:sz w:val="24"/>
              <w:szCs w:val="24"/>
              <w:lang w:eastAsia="bg-BG"/>
            </w:rPr>
          </w:pPr>
          <w:hyperlink w:anchor="_Toc535495192" w:history="1">
            <w:r w:rsidR="00C6537B" w:rsidRPr="00C7091C">
              <w:rPr>
                <w:rStyle w:val="Hyperlink"/>
                <w:rFonts w:ascii="Times New Roman" w:hAnsi="Times New Roman" w:cs="Times New Roman"/>
                <w:noProof/>
                <w:sz w:val="24"/>
                <w:szCs w:val="24"/>
              </w:rPr>
              <w:t>14.3. Недопустими разходи</w:t>
            </w:r>
            <w:r w:rsidR="00C6537B" w:rsidRPr="00C7091C">
              <w:rPr>
                <w:rFonts w:ascii="Times New Roman" w:hAnsi="Times New Roman" w:cs="Times New Roman"/>
                <w:noProof/>
                <w:webHidden/>
                <w:sz w:val="24"/>
                <w:szCs w:val="24"/>
              </w:rPr>
              <w:tab/>
            </w:r>
            <w:r w:rsidR="00C6537B" w:rsidRPr="00C7091C">
              <w:rPr>
                <w:rFonts w:ascii="Times New Roman" w:hAnsi="Times New Roman" w:cs="Times New Roman"/>
                <w:noProof/>
                <w:webHidden/>
                <w:sz w:val="24"/>
                <w:szCs w:val="24"/>
              </w:rPr>
              <w:fldChar w:fldCharType="begin"/>
            </w:r>
            <w:r w:rsidR="00C6537B" w:rsidRPr="00C7091C">
              <w:rPr>
                <w:rFonts w:ascii="Times New Roman" w:hAnsi="Times New Roman" w:cs="Times New Roman"/>
                <w:noProof/>
                <w:webHidden/>
                <w:sz w:val="24"/>
                <w:szCs w:val="24"/>
              </w:rPr>
              <w:instrText xml:space="preserve"> PAGEREF _Toc535495192 \h </w:instrText>
            </w:r>
            <w:r w:rsidR="00C6537B" w:rsidRPr="00C7091C">
              <w:rPr>
                <w:rFonts w:ascii="Times New Roman" w:hAnsi="Times New Roman" w:cs="Times New Roman"/>
                <w:noProof/>
                <w:webHidden/>
                <w:sz w:val="24"/>
                <w:szCs w:val="24"/>
              </w:rPr>
            </w:r>
            <w:r w:rsidR="00C6537B" w:rsidRPr="00C7091C">
              <w:rPr>
                <w:rFonts w:ascii="Times New Roman" w:hAnsi="Times New Roman" w:cs="Times New Roman"/>
                <w:noProof/>
                <w:webHidden/>
                <w:sz w:val="24"/>
                <w:szCs w:val="24"/>
              </w:rPr>
              <w:fldChar w:fldCharType="separate"/>
            </w:r>
            <w:r w:rsidR="00BD2B23">
              <w:rPr>
                <w:rFonts w:ascii="Times New Roman" w:hAnsi="Times New Roman" w:cs="Times New Roman"/>
                <w:noProof/>
                <w:webHidden/>
                <w:sz w:val="24"/>
                <w:szCs w:val="24"/>
              </w:rPr>
              <w:t>19</w:t>
            </w:r>
            <w:r w:rsidR="00C6537B" w:rsidRPr="00C7091C">
              <w:rPr>
                <w:rFonts w:ascii="Times New Roman" w:hAnsi="Times New Roman" w:cs="Times New Roman"/>
                <w:noProof/>
                <w:webHidden/>
                <w:sz w:val="24"/>
                <w:szCs w:val="24"/>
              </w:rPr>
              <w:fldChar w:fldCharType="end"/>
            </w:r>
          </w:hyperlink>
        </w:p>
        <w:p w14:paraId="3E85C89B" w14:textId="77777777" w:rsidR="00C6537B" w:rsidRPr="00C7091C" w:rsidRDefault="005F3DFE">
          <w:pPr>
            <w:pStyle w:val="TOC1"/>
            <w:tabs>
              <w:tab w:val="right" w:leader="dot" w:pos="9346"/>
            </w:tabs>
            <w:rPr>
              <w:rFonts w:ascii="Times New Roman" w:eastAsiaTheme="minorEastAsia" w:hAnsi="Times New Roman" w:cs="Times New Roman"/>
              <w:b w:val="0"/>
              <w:bCs w:val="0"/>
              <w:noProof/>
              <w:lang w:eastAsia="bg-BG"/>
            </w:rPr>
          </w:pPr>
          <w:hyperlink w:anchor="_Toc535495193" w:history="1">
            <w:r w:rsidR="00C6537B" w:rsidRPr="00C7091C">
              <w:rPr>
                <w:rStyle w:val="Hyperlink"/>
                <w:rFonts w:ascii="Times New Roman" w:hAnsi="Times New Roman" w:cs="Times New Roman"/>
                <w:noProof/>
              </w:rPr>
              <w:t>15. Допустими целеви групи :</w:t>
            </w:r>
            <w:r w:rsidR="00C6537B" w:rsidRPr="00C7091C">
              <w:rPr>
                <w:rFonts w:ascii="Times New Roman" w:hAnsi="Times New Roman" w:cs="Times New Roman"/>
                <w:noProof/>
                <w:webHidden/>
              </w:rPr>
              <w:tab/>
            </w:r>
            <w:r w:rsidR="00C6537B" w:rsidRPr="00C7091C">
              <w:rPr>
                <w:rFonts w:ascii="Times New Roman" w:hAnsi="Times New Roman" w:cs="Times New Roman"/>
                <w:noProof/>
                <w:webHidden/>
              </w:rPr>
              <w:fldChar w:fldCharType="begin"/>
            </w:r>
            <w:r w:rsidR="00C6537B" w:rsidRPr="00C7091C">
              <w:rPr>
                <w:rFonts w:ascii="Times New Roman" w:hAnsi="Times New Roman" w:cs="Times New Roman"/>
                <w:noProof/>
                <w:webHidden/>
              </w:rPr>
              <w:instrText xml:space="preserve"> PAGEREF _Toc535495193 \h </w:instrText>
            </w:r>
            <w:r w:rsidR="00C6537B" w:rsidRPr="00C7091C">
              <w:rPr>
                <w:rFonts w:ascii="Times New Roman" w:hAnsi="Times New Roman" w:cs="Times New Roman"/>
                <w:noProof/>
                <w:webHidden/>
              </w:rPr>
            </w:r>
            <w:r w:rsidR="00C6537B" w:rsidRPr="00C7091C">
              <w:rPr>
                <w:rFonts w:ascii="Times New Roman" w:hAnsi="Times New Roman" w:cs="Times New Roman"/>
                <w:noProof/>
                <w:webHidden/>
              </w:rPr>
              <w:fldChar w:fldCharType="separate"/>
            </w:r>
            <w:r w:rsidR="00BD2B23">
              <w:rPr>
                <w:rFonts w:ascii="Times New Roman" w:hAnsi="Times New Roman" w:cs="Times New Roman"/>
                <w:noProof/>
                <w:webHidden/>
              </w:rPr>
              <w:t>20</w:t>
            </w:r>
            <w:r w:rsidR="00C6537B" w:rsidRPr="00C7091C">
              <w:rPr>
                <w:rFonts w:ascii="Times New Roman" w:hAnsi="Times New Roman" w:cs="Times New Roman"/>
                <w:noProof/>
                <w:webHidden/>
              </w:rPr>
              <w:fldChar w:fldCharType="end"/>
            </w:r>
          </w:hyperlink>
        </w:p>
        <w:p w14:paraId="2D6DC810" w14:textId="77777777" w:rsidR="00C6537B" w:rsidRPr="00C7091C" w:rsidRDefault="005F3DFE">
          <w:pPr>
            <w:pStyle w:val="TOC1"/>
            <w:tabs>
              <w:tab w:val="right" w:leader="dot" w:pos="9346"/>
            </w:tabs>
            <w:rPr>
              <w:rFonts w:ascii="Times New Roman" w:eastAsiaTheme="minorEastAsia" w:hAnsi="Times New Roman" w:cs="Times New Roman"/>
              <w:b w:val="0"/>
              <w:bCs w:val="0"/>
              <w:noProof/>
              <w:lang w:eastAsia="bg-BG"/>
            </w:rPr>
          </w:pPr>
          <w:hyperlink w:anchor="_Toc535495194" w:history="1">
            <w:r w:rsidR="00C6537B" w:rsidRPr="00C7091C">
              <w:rPr>
                <w:rStyle w:val="Hyperlink"/>
                <w:rFonts w:ascii="Times New Roman" w:hAnsi="Times New Roman" w:cs="Times New Roman"/>
                <w:noProof/>
              </w:rPr>
              <w:t>16. Приложим режим на държавни помощи:</w:t>
            </w:r>
            <w:r w:rsidR="00C6537B" w:rsidRPr="00C7091C">
              <w:rPr>
                <w:rFonts w:ascii="Times New Roman" w:hAnsi="Times New Roman" w:cs="Times New Roman"/>
                <w:noProof/>
                <w:webHidden/>
              </w:rPr>
              <w:tab/>
            </w:r>
            <w:r w:rsidR="00C6537B" w:rsidRPr="00C7091C">
              <w:rPr>
                <w:rFonts w:ascii="Times New Roman" w:hAnsi="Times New Roman" w:cs="Times New Roman"/>
                <w:noProof/>
                <w:webHidden/>
              </w:rPr>
              <w:fldChar w:fldCharType="begin"/>
            </w:r>
            <w:r w:rsidR="00C6537B" w:rsidRPr="00C7091C">
              <w:rPr>
                <w:rFonts w:ascii="Times New Roman" w:hAnsi="Times New Roman" w:cs="Times New Roman"/>
                <w:noProof/>
                <w:webHidden/>
              </w:rPr>
              <w:instrText xml:space="preserve"> PAGEREF _Toc535495194 \h </w:instrText>
            </w:r>
            <w:r w:rsidR="00C6537B" w:rsidRPr="00C7091C">
              <w:rPr>
                <w:rFonts w:ascii="Times New Roman" w:hAnsi="Times New Roman" w:cs="Times New Roman"/>
                <w:noProof/>
                <w:webHidden/>
              </w:rPr>
            </w:r>
            <w:r w:rsidR="00C6537B" w:rsidRPr="00C7091C">
              <w:rPr>
                <w:rFonts w:ascii="Times New Roman" w:hAnsi="Times New Roman" w:cs="Times New Roman"/>
                <w:noProof/>
                <w:webHidden/>
              </w:rPr>
              <w:fldChar w:fldCharType="separate"/>
            </w:r>
            <w:r w:rsidR="00BD2B23">
              <w:rPr>
                <w:rFonts w:ascii="Times New Roman" w:hAnsi="Times New Roman" w:cs="Times New Roman"/>
                <w:noProof/>
                <w:webHidden/>
              </w:rPr>
              <w:t>20</w:t>
            </w:r>
            <w:r w:rsidR="00C6537B" w:rsidRPr="00C7091C">
              <w:rPr>
                <w:rFonts w:ascii="Times New Roman" w:hAnsi="Times New Roman" w:cs="Times New Roman"/>
                <w:noProof/>
                <w:webHidden/>
              </w:rPr>
              <w:fldChar w:fldCharType="end"/>
            </w:r>
          </w:hyperlink>
        </w:p>
        <w:p w14:paraId="67A0DAE9" w14:textId="77777777" w:rsidR="00C6537B" w:rsidRPr="00C7091C" w:rsidRDefault="005F3DFE">
          <w:pPr>
            <w:pStyle w:val="TOC1"/>
            <w:tabs>
              <w:tab w:val="right" w:leader="dot" w:pos="9346"/>
            </w:tabs>
            <w:rPr>
              <w:rFonts w:ascii="Times New Roman" w:eastAsiaTheme="minorEastAsia" w:hAnsi="Times New Roman" w:cs="Times New Roman"/>
              <w:b w:val="0"/>
              <w:bCs w:val="0"/>
              <w:noProof/>
              <w:lang w:eastAsia="bg-BG"/>
            </w:rPr>
          </w:pPr>
          <w:hyperlink w:anchor="_Toc535495195" w:history="1">
            <w:r w:rsidR="00C6537B" w:rsidRPr="00C7091C">
              <w:rPr>
                <w:rStyle w:val="Hyperlink"/>
                <w:rFonts w:ascii="Times New Roman" w:hAnsi="Times New Roman" w:cs="Times New Roman"/>
                <w:noProof/>
              </w:rPr>
              <w:t>17. Хоризонтални политики:</w:t>
            </w:r>
            <w:r w:rsidR="00C6537B" w:rsidRPr="00C7091C">
              <w:rPr>
                <w:rFonts w:ascii="Times New Roman" w:hAnsi="Times New Roman" w:cs="Times New Roman"/>
                <w:noProof/>
                <w:webHidden/>
              </w:rPr>
              <w:tab/>
            </w:r>
            <w:r w:rsidR="00C6537B" w:rsidRPr="00C7091C">
              <w:rPr>
                <w:rFonts w:ascii="Times New Roman" w:hAnsi="Times New Roman" w:cs="Times New Roman"/>
                <w:noProof/>
                <w:webHidden/>
              </w:rPr>
              <w:fldChar w:fldCharType="begin"/>
            </w:r>
            <w:r w:rsidR="00C6537B" w:rsidRPr="00C7091C">
              <w:rPr>
                <w:rFonts w:ascii="Times New Roman" w:hAnsi="Times New Roman" w:cs="Times New Roman"/>
                <w:noProof/>
                <w:webHidden/>
              </w:rPr>
              <w:instrText xml:space="preserve"> PAGEREF _Toc535495195 \h </w:instrText>
            </w:r>
            <w:r w:rsidR="00C6537B" w:rsidRPr="00C7091C">
              <w:rPr>
                <w:rFonts w:ascii="Times New Roman" w:hAnsi="Times New Roman" w:cs="Times New Roman"/>
                <w:noProof/>
                <w:webHidden/>
              </w:rPr>
            </w:r>
            <w:r w:rsidR="00C6537B" w:rsidRPr="00C7091C">
              <w:rPr>
                <w:rFonts w:ascii="Times New Roman" w:hAnsi="Times New Roman" w:cs="Times New Roman"/>
                <w:noProof/>
                <w:webHidden/>
              </w:rPr>
              <w:fldChar w:fldCharType="separate"/>
            </w:r>
            <w:r w:rsidR="00BD2B23">
              <w:rPr>
                <w:rFonts w:ascii="Times New Roman" w:hAnsi="Times New Roman" w:cs="Times New Roman"/>
                <w:noProof/>
                <w:webHidden/>
              </w:rPr>
              <w:t>21</w:t>
            </w:r>
            <w:r w:rsidR="00C6537B" w:rsidRPr="00C7091C">
              <w:rPr>
                <w:rFonts w:ascii="Times New Roman" w:hAnsi="Times New Roman" w:cs="Times New Roman"/>
                <w:noProof/>
                <w:webHidden/>
              </w:rPr>
              <w:fldChar w:fldCharType="end"/>
            </w:r>
          </w:hyperlink>
        </w:p>
        <w:p w14:paraId="20FB1954" w14:textId="77777777" w:rsidR="00C6537B" w:rsidRPr="00C7091C" w:rsidRDefault="005F3DFE">
          <w:pPr>
            <w:pStyle w:val="TOC1"/>
            <w:tabs>
              <w:tab w:val="right" w:leader="dot" w:pos="9346"/>
            </w:tabs>
            <w:rPr>
              <w:rFonts w:ascii="Times New Roman" w:eastAsiaTheme="minorEastAsia" w:hAnsi="Times New Roman" w:cs="Times New Roman"/>
              <w:b w:val="0"/>
              <w:bCs w:val="0"/>
              <w:noProof/>
              <w:lang w:eastAsia="bg-BG"/>
            </w:rPr>
          </w:pPr>
          <w:hyperlink w:anchor="_Toc535495196" w:history="1">
            <w:r w:rsidR="00C6537B" w:rsidRPr="00C7091C">
              <w:rPr>
                <w:rStyle w:val="Hyperlink"/>
                <w:rFonts w:ascii="Times New Roman" w:hAnsi="Times New Roman" w:cs="Times New Roman"/>
                <w:noProof/>
              </w:rPr>
              <w:t>18. Минимален и максимален срок за изпълнение на проекта:</w:t>
            </w:r>
            <w:r w:rsidR="00C6537B" w:rsidRPr="00C7091C">
              <w:rPr>
                <w:rFonts w:ascii="Times New Roman" w:hAnsi="Times New Roman" w:cs="Times New Roman"/>
                <w:noProof/>
                <w:webHidden/>
              </w:rPr>
              <w:tab/>
            </w:r>
            <w:r w:rsidR="00C6537B" w:rsidRPr="00C7091C">
              <w:rPr>
                <w:rFonts w:ascii="Times New Roman" w:hAnsi="Times New Roman" w:cs="Times New Roman"/>
                <w:noProof/>
                <w:webHidden/>
              </w:rPr>
              <w:fldChar w:fldCharType="begin"/>
            </w:r>
            <w:r w:rsidR="00C6537B" w:rsidRPr="00C7091C">
              <w:rPr>
                <w:rFonts w:ascii="Times New Roman" w:hAnsi="Times New Roman" w:cs="Times New Roman"/>
                <w:noProof/>
                <w:webHidden/>
              </w:rPr>
              <w:instrText xml:space="preserve"> PAGEREF _Toc535495196 \h </w:instrText>
            </w:r>
            <w:r w:rsidR="00C6537B" w:rsidRPr="00C7091C">
              <w:rPr>
                <w:rFonts w:ascii="Times New Roman" w:hAnsi="Times New Roman" w:cs="Times New Roman"/>
                <w:noProof/>
                <w:webHidden/>
              </w:rPr>
            </w:r>
            <w:r w:rsidR="00C6537B" w:rsidRPr="00C7091C">
              <w:rPr>
                <w:rFonts w:ascii="Times New Roman" w:hAnsi="Times New Roman" w:cs="Times New Roman"/>
                <w:noProof/>
                <w:webHidden/>
              </w:rPr>
              <w:fldChar w:fldCharType="separate"/>
            </w:r>
            <w:r w:rsidR="00BD2B23">
              <w:rPr>
                <w:rFonts w:ascii="Times New Roman" w:hAnsi="Times New Roman" w:cs="Times New Roman"/>
                <w:noProof/>
                <w:webHidden/>
              </w:rPr>
              <w:t>22</w:t>
            </w:r>
            <w:r w:rsidR="00C6537B" w:rsidRPr="00C7091C">
              <w:rPr>
                <w:rFonts w:ascii="Times New Roman" w:hAnsi="Times New Roman" w:cs="Times New Roman"/>
                <w:noProof/>
                <w:webHidden/>
              </w:rPr>
              <w:fldChar w:fldCharType="end"/>
            </w:r>
          </w:hyperlink>
        </w:p>
        <w:p w14:paraId="5C076895" w14:textId="77777777" w:rsidR="00C6537B" w:rsidRPr="00C7091C" w:rsidRDefault="005F3DFE">
          <w:pPr>
            <w:pStyle w:val="TOC1"/>
            <w:tabs>
              <w:tab w:val="right" w:leader="dot" w:pos="9346"/>
            </w:tabs>
            <w:rPr>
              <w:rFonts w:ascii="Times New Roman" w:eastAsiaTheme="minorEastAsia" w:hAnsi="Times New Roman" w:cs="Times New Roman"/>
              <w:b w:val="0"/>
              <w:bCs w:val="0"/>
              <w:noProof/>
              <w:lang w:eastAsia="bg-BG"/>
            </w:rPr>
          </w:pPr>
          <w:hyperlink w:anchor="_Toc535495197" w:history="1">
            <w:r w:rsidR="00C6537B" w:rsidRPr="00C7091C">
              <w:rPr>
                <w:rStyle w:val="Hyperlink"/>
                <w:rFonts w:ascii="Times New Roman" w:hAnsi="Times New Roman" w:cs="Times New Roman"/>
                <w:noProof/>
              </w:rPr>
              <w:t>19. Ред за оценяване на концепциите за проектни предложения:</w:t>
            </w:r>
            <w:r w:rsidR="00C6537B" w:rsidRPr="00C7091C">
              <w:rPr>
                <w:rFonts w:ascii="Times New Roman" w:hAnsi="Times New Roman" w:cs="Times New Roman"/>
                <w:noProof/>
                <w:webHidden/>
              </w:rPr>
              <w:tab/>
            </w:r>
            <w:r w:rsidR="00C6537B" w:rsidRPr="00C7091C">
              <w:rPr>
                <w:rFonts w:ascii="Times New Roman" w:hAnsi="Times New Roman" w:cs="Times New Roman"/>
                <w:noProof/>
                <w:webHidden/>
              </w:rPr>
              <w:fldChar w:fldCharType="begin"/>
            </w:r>
            <w:r w:rsidR="00C6537B" w:rsidRPr="00C7091C">
              <w:rPr>
                <w:rFonts w:ascii="Times New Roman" w:hAnsi="Times New Roman" w:cs="Times New Roman"/>
                <w:noProof/>
                <w:webHidden/>
              </w:rPr>
              <w:instrText xml:space="preserve"> PAGEREF _Toc535495197 \h </w:instrText>
            </w:r>
            <w:r w:rsidR="00C6537B" w:rsidRPr="00C7091C">
              <w:rPr>
                <w:rFonts w:ascii="Times New Roman" w:hAnsi="Times New Roman" w:cs="Times New Roman"/>
                <w:noProof/>
                <w:webHidden/>
              </w:rPr>
            </w:r>
            <w:r w:rsidR="00C6537B" w:rsidRPr="00C7091C">
              <w:rPr>
                <w:rFonts w:ascii="Times New Roman" w:hAnsi="Times New Roman" w:cs="Times New Roman"/>
                <w:noProof/>
                <w:webHidden/>
              </w:rPr>
              <w:fldChar w:fldCharType="separate"/>
            </w:r>
            <w:r w:rsidR="00BD2B23">
              <w:rPr>
                <w:rFonts w:ascii="Times New Roman" w:hAnsi="Times New Roman" w:cs="Times New Roman"/>
                <w:noProof/>
                <w:webHidden/>
              </w:rPr>
              <w:t>22</w:t>
            </w:r>
            <w:r w:rsidR="00C6537B" w:rsidRPr="00C7091C">
              <w:rPr>
                <w:rFonts w:ascii="Times New Roman" w:hAnsi="Times New Roman" w:cs="Times New Roman"/>
                <w:noProof/>
                <w:webHidden/>
              </w:rPr>
              <w:fldChar w:fldCharType="end"/>
            </w:r>
          </w:hyperlink>
        </w:p>
        <w:p w14:paraId="2343F765" w14:textId="77777777" w:rsidR="00C6537B" w:rsidRPr="00C7091C" w:rsidRDefault="005F3DFE">
          <w:pPr>
            <w:pStyle w:val="TOC1"/>
            <w:tabs>
              <w:tab w:val="right" w:leader="dot" w:pos="9346"/>
            </w:tabs>
            <w:rPr>
              <w:rFonts w:ascii="Times New Roman" w:eastAsiaTheme="minorEastAsia" w:hAnsi="Times New Roman" w:cs="Times New Roman"/>
              <w:b w:val="0"/>
              <w:bCs w:val="0"/>
              <w:noProof/>
              <w:lang w:eastAsia="bg-BG"/>
            </w:rPr>
          </w:pPr>
          <w:hyperlink w:anchor="_Toc535495198" w:history="1">
            <w:r w:rsidR="00C6537B" w:rsidRPr="00C7091C">
              <w:rPr>
                <w:rStyle w:val="Hyperlink"/>
                <w:rFonts w:ascii="Times New Roman" w:hAnsi="Times New Roman" w:cs="Times New Roman"/>
                <w:noProof/>
              </w:rPr>
              <w:t>20. Критерии и методика за оценка на концепциите за проектни предложения:</w:t>
            </w:r>
            <w:r w:rsidR="00C6537B" w:rsidRPr="00C7091C">
              <w:rPr>
                <w:rFonts w:ascii="Times New Roman" w:hAnsi="Times New Roman" w:cs="Times New Roman"/>
                <w:noProof/>
                <w:webHidden/>
              </w:rPr>
              <w:tab/>
            </w:r>
            <w:r w:rsidR="00C6537B" w:rsidRPr="00C7091C">
              <w:rPr>
                <w:rFonts w:ascii="Times New Roman" w:hAnsi="Times New Roman" w:cs="Times New Roman"/>
                <w:noProof/>
                <w:webHidden/>
              </w:rPr>
              <w:fldChar w:fldCharType="begin"/>
            </w:r>
            <w:r w:rsidR="00C6537B" w:rsidRPr="00C7091C">
              <w:rPr>
                <w:rFonts w:ascii="Times New Roman" w:hAnsi="Times New Roman" w:cs="Times New Roman"/>
                <w:noProof/>
                <w:webHidden/>
              </w:rPr>
              <w:instrText xml:space="preserve"> PAGEREF _Toc535495198 \h </w:instrText>
            </w:r>
            <w:r w:rsidR="00C6537B" w:rsidRPr="00C7091C">
              <w:rPr>
                <w:rFonts w:ascii="Times New Roman" w:hAnsi="Times New Roman" w:cs="Times New Roman"/>
                <w:noProof/>
                <w:webHidden/>
              </w:rPr>
            </w:r>
            <w:r w:rsidR="00C6537B" w:rsidRPr="00C7091C">
              <w:rPr>
                <w:rFonts w:ascii="Times New Roman" w:hAnsi="Times New Roman" w:cs="Times New Roman"/>
                <w:noProof/>
                <w:webHidden/>
              </w:rPr>
              <w:fldChar w:fldCharType="separate"/>
            </w:r>
            <w:r w:rsidR="00BD2B23">
              <w:rPr>
                <w:rFonts w:ascii="Times New Roman" w:hAnsi="Times New Roman" w:cs="Times New Roman"/>
                <w:noProof/>
                <w:webHidden/>
              </w:rPr>
              <w:t>22</w:t>
            </w:r>
            <w:r w:rsidR="00C6537B" w:rsidRPr="00C7091C">
              <w:rPr>
                <w:rFonts w:ascii="Times New Roman" w:hAnsi="Times New Roman" w:cs="Times New Roman"/>
                <w:noProof/>
                <w:webHidden/>
              </w:rPr>
              <w:fldChar w:fldCharType="end"/>
            </w:r>
          </w:hyperlink>
        </w:p>
        <w:p w14:paraId="01769A50" w14:textId="77777777" w:rsidR="00C6537B" w:rsidRPr="00C7091C" w:rsidRDefault="005F3DFE">
          <w:pPr>
            <w:pStyle w:val="TOC1"/>
            <w:tabs>
              <w:tab w:val="right" w:leader="dot" w:pos="9346"/>
            </w:tabs>
            <w:rPr>
              <w:rFonts w:ascii="Times New Roman" w:eastAsiaTheme="minorEastAsia" w:hAnsi="Times New Roman" w:cs="Times New Roman"/>
              <w:b w:val="0"/>
              <w:bCs w:val="0"/>
              <w:noProof/>
              <w:lang w:eastAsia="bg-BG"/>
            </w:rPr>
          </w:pPr>
          <w:hyperlink w:anchor="_Toc535495199" w:history="1">
            <w:r w:rsidR="00C6537B" w:rsidRPr="00C7091C">
              <w:rPr>
                <w:rStyle w:val="Hyperlink"/>
                <w:rFonts w:ascii="Times New Roman" w:hAnsi="Times New Roman" w:cs="Times New Roman"/>
                <w:noProof/>
              </w:rPr>
              <w:t>21. Ред за оценяване на проектните предложения:</w:t>
            </w:r>
            <w:r w:rsidR="00C6537B" w:rsidRPr="00C7091C">
              <w:rPr>
                <w:rFonts w:ascii="Times New Roman" w:hAnsi="Times New Roman" w:cs="Times New Roman"/>
                <w:noProof/>
                <w:webHidden/>
              </w:rPr>
              <w:tab/>
            </w:r>
            <w:r w:rsidR="00C6537B" w:rsidRPr="00C7091C">
              <w:rPr>
                <w:rFonts w:ascii="Times New Roman" w:hAnsi="Times New Roman" w:cs="Times New Roman"/>
                <w:noProof/>
                <w:webHidden/>
              </w:rPr>
              <w:fldChar w:fldCharType="begin"/>
            </w:r>
            <w:r w:rsidR="00C6537B" w:rsidRPr="00C7091C">
              <w:rPr>
                <w:rFonts w:ascii="Times New Roman" w:hAnsi="Times New Roman" w:cs="Times New Roman"/>
                <w:noProof/>
                <w:webHidden/>
              </w:rPr>
              <w:instrText xml:space="preserve"> PAGEREF _Toc535495199 \h </w:instrText>
            </w:r>
            <w:r w:rsidR="00C6537B" w:rsidRPr="00C7091C">
              <w:rPr>
                <w:rFonts w:ascii="Times New Roman" w:hAnsi="Times New Roman" w:cs="Times New Roman"/>
                <w:noProof/>
                <w:webHidden/>
              </w:rPr>
            </w:r>
            <w:r w:rsidR="00C6537B" w:rsidRPr="00C7091C">
              <w:rPr>
                <w:rFonts w:ascii="Times New Roman" w:hAnsi="Times New Roman" w:cs="Times New Roman"/>
                <w:noProof/>
                <w:webHidden/>
              </w:rPr>
              <w:fldChar w:fldCharType="separate"/>
            </w:r>
            <w:r w:rsidR="00BD2B23">
              <w:rPr>
                <w:rFonts w:ascii="Times New Roman" w:hAnsi="Times New Roman" w:cs="Times New Roman"/>
                <w:noProof/>
                <w:webHidden/>
              </w:rPr>
              <w:t>22</w:t>
            </w:r>
            <w:r w:rsidR="00C6537B" w:rsidRPr="00C7091C">
              <w:rPr>
                <w:rFonts w:ascii="Times New Roman" w:hAnsi="Times New Roman" w:cs="Times New Roman"/>
                <w:noProof/>
                <w:webHidden/>
              </w:rPr>
              <w:fldChar w:fldCharType="end"/>
            </w:r>
          </w:hyperlink>
        </w:p>
        <w:p w14:paraId="3E0AA084" w14:textId="77777777" w:rsidR="00C6537B" w:rsidRPr="00C7091C" w:rsidRDefault="005F3DFE">
          <w:pPr>
            <w:pStyle w:val="TOC2"/>
            <w:tabs>
              <w:tab w:val="right" w:leader="dot" w:pos="9346"/>
            </w:tabs>
            <w:rPr>
              <w:rFonts w:ascii="Times New Roman" w:eastAsiaTheme="minorEastAsia" w:hAnsi="Times New Roman" w:cs="Times New Roman"/>
              <w:b w:val="0"/>
              <w:bCs w:val="0"/>
              <w:noProof/>
              <w:sz w:val="24"/>
              <w:szCs w:val="24"/>
              <w:lang w:eastAsia="bg-BG"/>
            </w:rPr>
          </w:pPr>
          <w:hyperlink w:anchor="_Toc535495200" w:history="1">
            <w:r w:rsidR="00C6537B" w:rsidRPr="00C7091C">
              <w:rPr>
                <w:rStyle w:val="Hyperlink"/>
                <w:rFonts w:ascii="Times New Roman" w:hAnsi="Times New Roman" w:cs="Times New Roman"/>
                <w:noProof/>
                <w:sz w:val="24"/>
                <w:szCs w:val="24"/>
              </w:rPr>
              <w:t>21.1. Оценка на административното съответствие и допустимост (АСД):</w:t>
            </w:r>
            <w:r w:rsidR="00C6537B" w:rsidRPr="00C7091C">
              <w:rPr>
                <w:rFonts w:ascii="Times New Roman" w:hAnsi="Times New Roman" w:cs="Times New Roman"/>
                <w:noProof/>
                <w:webHidden/>
                <w:sz w:val="24"/>
                <w:szCs w:val="24"/>
              </w:rPr>
              <w:tab/>
            </w:r>
            <w:r w:rsidR="00C6537B" w:rsidRPr="00C7091C">
              <w:rPr>
                <w:rFonts w:ascii="Times New Roman" w:hAnsi="Times New Roman" w:cs="Times New Roman"/>
                <w:noProof/>
                <w:webHidden/>
                <w:sz w:val="24"/>
                <w:szCs w:val="24"/>
              </w:rPr>
              <w:fldChar w:fldCharType="begin"/>
            </w:r>
            <w:r w:rsidR="00C6537B" w:rsidRPr="00C7091C">
              <w:rPr>
                <w:rFonts w:ascii="Times New Roman" w:hAnsi="Times New Roman" w:cs="Times New Roman"/>
                <w:noProof/>
                <w:webHidden/>
                <w:sz w:val="24"/>
                <w:szCs w:val="24"/>
              </w:rPr>
              <w:instrText xml:space="preserve"> PAGEREF _Toc535495200 \h </w:instrText>
            </w:r>
            <w:r w:rsidR="00C6537B" w:rsidRPr="00C7091C">
              <w:rPr>
                <w:rFonts w:ascii="Times New Roman" w:hAnsi="Times New Roman" w:cs="Times New Roman"/>
                <w:noProof/>
                <w:webHidden/>
                <w:sz w:val="24"/>
                <w:szCs w:val="24"/>
              </w:rPr>
            </w:r>
            <w:r w:rsidR="00C6537B" w:rsidRPr="00C7091C">
              <w:rPr>
                <w:rFonts w:ascii="Times New Roman" w:hAnsi="Times New Roman" w:cs="Times New Roman"/>
                <w:noProof/>
                <w:webHidden/>
                <w:sz w:val="24"/>
                <w:szCs w:val="24"/>
              </w:rPr>
              <w:fldChar w:fldCharType="separate"/>
            </w:r>
            <w:r w:rsidR="00BD2B23">
              <w:rPr>
                <w:rFonts w:ascii="Times New Roman" w:hAnsi="Times New Roman" w:cs="Times New Roman"/>
                <w:noProof/>
                <w:webHidden/>
                <w:sz w:val="24"/>
                <w:szCs w:val="24"/>
              </w:rPr>
              <w:t>23</w:t>
            </w:r>
            <w:r w:rsidR="00C6537B" w:rsidRPr="00C7091C">
              <w:rPr>
                <w:rFonts w:ascii="Times New Roman" w:hAnsi="Times New Roman" w:cs="Times New Roman"/>
                <w:noProof/>
                <w:webHidden/>
                <w:sz w:val="24"/>
                <w:szCs w:val="24"/>
              </w:rPr>
              <w:fldChar w:fldCharType="end"/>
            </w:r>
          </w:hyperlink>
        </w:p>
        <w:p w14:paraId="38BCBD4C" w14:textId="77777777" w:rsidR="00C6537B" w:rsidRPr="00C7091C" w:rsidRDefault="005F3DFE">
          <w:pPr>
            <w:pStyle w:val="TOC2"/>
            <w:tabs>
              <w:tab w:val="right" w:leader="dot" w:pos="9346"/>
            </w:tabs>
            <w:rPr>
              <w:rFonts w:ascii="Times New Roman" w:eastAsiaTheme="minorEastAsia" w:hAnsi="Times New Roman" w:cs="Times New Roman"/>
              <w:b w:val="0"/>
              <w:bCs w:val="0"/>
              <w:noProof/>
              <w:sz w:val="24"/>
              <w:szCs w:val="24"/>
              <w:lang w:eastAsia="bg-BG"/>
            </w:rPr>
          </w:pPr>
          <w:hyperlink w:anchor="_Toc535495201" w:history="1">
            <w:r w:rsidR="00C6537B" w:rsidRPr="00C7091C">
              <w:rPr>
                <w:rStyle w:val="Hyperlink"/>
                <w:rFonts w:ascii="Times New Roman" w:hAnsi="Times New Roman" w:cs="Times New Roman"/>
                <w:noProof/>
                <w:sz w:val="24"/>
                <w:szCs w:val="24"/>
              </w:rPr>
              <w:t>21.2 Техническа и финансова оценка (ТФО):</w:t>
            </w:r>
            <w:r w:rsidR="00C6537B" w:rsidRPr="00C7091C">
              <w:rPr>
                <w:rFonts w:ascii="Times New Roman" w:hAnsi="Times New Roman" w:cs="Times New Roman"/>
                <w:noProof/>
                <w:webHidden/>
                <w:sz w:val="24"/>
                <w:szCs w:val="24"/>
              </w:rPr>
              <w:tab/>
            </w:r>
            <w:r w:rsidR="00C6537B" w:rsidRPr="00C7091C">
              <w:rPr>
                <w:rFonts w:ascii="Times New Roman" w:hAnsi="Times New Roman" w:cs="Times New Roman"/>
                <w:noProof/>
                <w:webHidden/>
                <w:sz w:val="24"/>
                <w:szCs w:val="24"/>
              </w:rPr>
              <w:fldChar w:fldCharType="begin"/>
            </w:r>
            <w:r w:rsidR="00C6537B" w:rsidRPr="00C7091C">
              <w:rPr>
                <w:rFonts w:ascii="Times New Roman" w:hAnsi="Times New Roman" w:cs="Times New Roman"/>
                <w:noProof/>
                <w:webHidden/>
                <w:sz w:val="24"/>
                <w:szCs w:val="24"/>
              </w:rPr>
              <w:instrText xml:space="preserve"> PAGEREF _Toc535495201 \h </w:instrText>
            </w:r>
            <w:r w:rsidR="00C6537B" w:rsidRPr="00C7091C">
              <w:rPr>
                <w:rFonts w:ascii="Times New Roman" w:hAnsi="Times New Roman" w:cs="Times New Roman"/>
                <w:noProof/>
                <w:webHidden/>
                <w:sz w:val="24"/>
                <w:szCs w:val="24"/>
              </w:rPr>
            </w:r>
            <w:r w:rsidR="00C6537B" w:rsidRPr="00C7091C">
              <w:rPr>
                <w:rFonts w:ascii="Times New Roman" w:hAnsi="Times New Roman" w:cs="Times New Roman"/>
                <w:noProof/>
                <w:webHidden/>
                <w:sz w:val="24"/>
                <w:szCs w:val="24"/>
              </w:rPr>
              <w:fldChar w:fldCharType="separate"/>
            </w:r>
            <w:r w:rsidR="00BD2B23">
              <w:rPr>
                <w:rFonts w:ascii="Times New Roman" w:hAnsi="Times New Roman" w:cs="Times New Roman"/>
                <w:noProof/>
                <w:webHidden/>
                <w:sz w:val="24"/>
                <w:szCs w:val="24"/>
              </w:rPr>
              <w:t>24</w:t>
            </w:r>
            <w:r w:rsidR="00C6537B" w:rsidRPr="00C7091C">
              <w:rPr>
                <w:rFonts w:ascii="Times New Roman" w:hAnsi="Times New Roman" w:cs="Times New Roman"/>
                <w:noProof/>
                <w:webHidden/>
                <w:sz w:val="24"/>
                <w:szCs w:val="24"/>
              </w:rPr>
              <w:fldChar w:fldCharType="end"/>
            </w:r>
          </w:hyperlink>
        </w:p>
        <w:p w14:paraId="3BB6EDA4" w14:textId="77777777" w:rsidR="00C6537B" w:rsidRPr="00C7091C" w:rsidRDefault="005F3DFE">
          <w:pPr>
            <w:pStyle w:val="TOC1"/>
            <w:tabs>
              <w:tab w:val="right" w:leader="dot" w:pos="9346"/>
            </w:tabs>
            <w:rPr>
              <w:rFonts w:ascii="Times New Roman" w:eastAsiaTheme="minorEastAsia" w:hAnsi="Times New Roman" w:cs="Times New Roman"/>
              <w:b w:val="0"/>
              <w:bCs w:val="0"/>
              <w:noProof/>
              <w:lang w:eastAsia="bg-BG"/>
            </w:rPr>
          </w:pPr>
          <w:hyperlink w:anchor="_Toc535495202" w:history="1">
            <w:r w:rsidR="00C6537B" w:rsidRPr="00C7091C">
              <w:rPr>
                <w:rStyle w:val="Hyperlink"/>
                <w:rFonts w:ascii="Times New Roman" w:hAnsi="Times New Roman" w:cs="Times New Roman"/>
                <w:noProof/>
              </w:rPr>
              <w:t>22. Критерии и методика за оценка на проектните предложения:</w:t>
            </w:r>
            <w:r w:rsidR="00C6537B" w:rsidRPr="00C7091C">
              <w:rPr>
                <w:rFonts w:ascii="Times New Roman" w:hAnsi="Times New Roman" w:cs="Times New Roman"/>
                <w:noProof/>
                <w:webHidden/>
              </w:rPr>
              <w:tab/>
            </w:r>
            <w:r w:rsidR="00C6537B" w:rsidRPr="00C7091C">
              <w:rPr>
                <w:rFonts w:ascii="Times New Roman" w:hAnsi="Times New Roman" w:cs="Times New Roman"/>
                <w:noProof/>
                <w:webHidden/>
              </w:rPr>
              <w:fldChar w:fldCharType="begin"/>
            </w:r>
            <w:r w:rsidR="00C6537B" w:rsidRPr="00C7091C">
              <w:rPr>
                <w:rFonts w:ascii="Times New Roman" w:hAnsi="Times New Roman" w:cs="Times New Roman"/>
                <w:noProof/>
                <w:webHidden/>
              </w:rPr>
              <w:instrText xml:space="preserve"> PAGEREF _Toc535495202 \h </w:instrText>
            </w:r>
            <w:r w:rsidR="00C6537B" w:rsidRPr="00C7091C">
              <w:rPr>
                <w:rFonts w:ascii="Times New Roman" w:hAnsi="Times New Roman" w:cs="Times New Roman"/>
                <w:noProof/>
                <w:webHidden/>
              </w:rPr>
            </w:r>
            <w:r w:rsidR="00C6537B" w:rsidRPr="00C7091C">
              <w:rPr>
                <w:rFonts w:ascii="Times New Roman" w:hAnsi="Times New Roman" w:cs="Times New Roman"/>
                <w:noProof/>
                <w:webHidden/>
              </w:rPr>
              <w:fldChar w:fldCharType="separate"/>
            </w:r>
            <w:r w:rsidR="00BD2B23">
              <w:rPr>
                <w:rFonts w:ascii="Times New Roman" w:hAnsi="Times New Roman" w:cs="Times New Roman"/>
                <w:noProof/>
                <w:webHidden/>
              </w:rPr>
              <w:t>25</w:t>
            </w:r>
            <w:r w:rsidR="00C6537B" w:rsidRPr="00C7091C">
              <w:rPr>
                <w:rFonts w:ascii="Times New Roman" w:hAnsi="Times New Roman" w:cs="Times New Roman"/>
                <w:noProof/>
                <w:webHidden/>
              </w:rPr>
              <w:fldChar w:fldCharType="end"/>
            </w:r>
          </w:hyperlink>
        </w:p>
        <w:p w14:paraId="73C78F08" w14:textId="77777777" w:rsidR="00C6537B" w:rsidRPr="00C7091C" w:rsidRDefault="005F3DFE">
          <w:pPr>
            <w:pStyle w:val="TOC1"/>
            <w:tabs>
              <w:tab w:val="right" w:leader="dot" w:pos="9346"/>
            </w:tabs>
            <w:rPr>
              <w:rFonts w:ascii="Times New Roman" w:eastAsiaTheme="minorEastAsia" w:hAnsi="Times New Roman" w:cs="Times New Roman"/>
              <w:b w:val="0"/>
              <w:bCs w:val="0"/>
              <w:noProof/>
              <w:lang w:eastAsia="bg-BG"/>
            </w:rPr>
          </w:pPr>
          <w:hyperlink w:anchor="_Toc535495203" w:history="1">
            <w:r w:rsidR="00C6537B" w:rsidRPr="00C7091C">
              <w:rPr>
                <w:rStyle w:val="Hyperlink"/>
                <w:rFonts w:ascii="Times New Roman" w:hAnsi="Times New Roman" w:cs="Times New Roman"/>
                <w:noProof/>
              </w:rPr>
              <w:t>23. Начин на подаване на проектните предложения:</w:t>
            </w:r>
            <w:r w:rsidR="00C6537B" w:rsidRPr="00C7091C">
              <w:rPr>
                <w:rFonts w:ascii="Times New Roman" w:hAnsi="Times New Roman" w:cs="Times New Roman"/>
                <w:noProof/>
                <w:webHidden/>
              </w:rPr>
              <w:tab/>
            </w:r>
            <w:r w:rsidR="00C6537B" w:rsidRPr="00C7091C">
              <w:rPr>
                <w:rFonts w:ascii="Times New Roman" w:hAnsi="Times New Roman" w:cs="Times New Roman"/>
                <w:noProof/>
                <w:webHidden/>
              </w:rPr>
              <w:fldChar w:fldCharType="begin"/>
            </w:r>
            <w:r w:rsidR="00C6537B" w:rsidRPr="00C7091C">
              <w:rPr>
                <w:rFonts w:ascii="Times New Roman" w:hAnsi="Times New Roman" w:cs="Times New Roman"/>
                <w:noProof/>
                <w:webHidden/>
              </w:rPr>
              <w:instrText xml:space="preserve"> PAGEREF _Toc535495203 \h </w:instrText>
            </w:r>
            <w:r w:rsidR="00C6537B" w:rsidRPr="00C7091C">
              <w:rPr>
                <w:rFonts w:ascii="Times New Roman" w:hAnsi="Times New Roman" w:cs="Times New Roman"/>
                <w:noProof/>
                <w:webHidden/>
              </w:rPr>
            </w:r>
            <w:r w:rsidR="00C6537B" w:rsidRPr="00C7091C">
              <w:rPr>
                <w:rFonts w:ascii="Times New Roman" w:hAnsi="Times New Roman" w:cs="Times New Roman"/>
                <w:noProof/>
                <w:webHidden/>
              </w:rPr>
              <w:fldChar w:fldCharType="separate"/>
            </w:r>
            <w:r w:rsidR="00BD2B23">
              <w:rPr>
                <w:rFonts w:ascii="Times New Roman" w:hAnsi="Times New Roman" w:cs="Times New Roman"/>
                <w:noProof/>
                <w:webHidden/>
              </w:rPr>
              <w:t>31</w:t>
            </w:r>
            <w:r w:rsidR="00C6537B" w:rsidRPr="00C7091C">
              <w:rPr>
                <w:rFonts w:ascii="Times New Roman" w:hAnsi="Times New Roman" w:cs="Times New Roman"/>
                <w:noProof/>
                <w:webHidden/>
              </w:rPr>
              <w:fldChar w:fldCharType="end"/>
            </w:r>
          </w:hyperlink>
        </w:p>
        <w:p w14:paraId="49C719AC" w14:textId="77777777" w:rsidR="00C6537B" w:rsidRPr="00C7091C" w:rsidRDefault="005F3DFE">
          <w:pPr>
            <w:pStyle w:val="TOC1"/>
            <w:tabs>
              <w:tab w:val="right" w:leader="dot" w:pos="9346"/>
            </w:tabs>
            <w:rPr>
              <w:rFonts w:ascii="Times New Roman" w:eastAsiaTheme="minorEastAsia" w:hAnsi="Times New Roman" w:cs="Times New Roman"/>
              <w:b w:val="0"/>
              <w:bCs w:val="0"/>
              <w:noProof/>
              <w:lang w:eastAsia="bg-BG"/>
            </w:rPr>
          </w:pPr>
          <w:hyperlink w:anchor="_Toc535495204" w:history="1">
            <w:r w:rsidR="00C6537B" w:rsidRPr="00C7091C">
              <w:rPr>
                <w:rStyle w:val="Hyperlink"/>
                <w:rFonts w:ascii="Times New Roman" w:hAnsi="Times New Roman" w:cs="Times New Roman"/>
                <w:noProof/>
              </w:rPr>
              <w:t>24. Списък на документите, които се подават на етап кандидатстване:</w:t>
            </w:r>
            <w:r w:rsidR="00C6537B" w:rsidRPr="00C7091C">
              <w:rPr>
                <w:rFonts w:ascii="Times New Roman" w:hAnsi="Times New Roman" w:cs="Times New Roman"/>
                <w:noProof/>
                <w:webHidden/>
              </w:rPr>
              <w:tab/>
            </w:r>
            <w:r w:rsidR="00C6537B" w:rsidRPr="00C7091C">
              <w:rPr>
                <w:rFonts w:ascii="Times New Roman" w:hAnsi="Times New Roman" w:cs="Times New Roman"/>
                <w:noProof/>
                <w:webHidden/>
              </w:rPr>
              <w:fldChar w:fldCharType="begin"/>
            </w:r>
            <w:r w:rsidR="00C6537B" w:rsidRPr="00C7091C">
              <w:rPr>
                <w:rFonts w:ascii="Times New Roman" w:hAnsi="Times New Roman" w:cs="Times New Roman"/>
                <w:noProof/>
                <w:webHidden/>
              </w:rPr>
              <w:instrText xml:space="preserve"> PAGEREF _Toc535495204 \h </w:instrText>
            </w:r>
            <w:r w:rsidR="00C6537B" w:rsidRPr="00C7091C">
              <w:rPr>
                <w:rFonts w:ascii="Times New Roman" w:hAnsi="Times New Roman" w:cs="Times New Roman"/>
                <w:noProof/>
                <w:webHidden/>
              </w:rPr>
            </w:r>
            <w:r w:rsidR="00C6537B" w:rsidRPr="00C7091C">
              <w:rPr>
                <w:rFonts w:ascii="Times New Roman" w:hAnsi="Times New Roman" w:cs="Times New Roman"/>
                <w:noProof/>
                <w:webHidden/>
              </w:rPr>
              <w:fldChar w:fldCharType="separate"/>
            </w:r>
            <w:r w:rsidR="00BD2B23">
              <w:rPr>
                <w:rFonts w:ascii="Times New Roman" w:hAnsi="Times New Roman" w:cs="Times New Roman"/>
                <w:noProof/>
                <w:webHidden/>
              </w:rPr>
              <w:t>33</w:t>
            </w:r>
            <w:r w:rsidR="00C6537B" w:rsidRPr="00C7091C">
              <w:rPr>
                <w:rFonts w:ascii="Times New Roman" w:hAnsi="Times New Roman" w:cs="Times New Roman"/>
                <w:noProof/>
                <w:webHidden/>
              </w:rPr>
              <w:fldChar w:fldCharType="end"/>
            </w:r>
          </w:hyperlink>
        </w:p>
        <w:p w14:paraId="7630A762" w14:textId="77777777" w:rsidR="00C6537B" w:rsidRPr="00C7091C" w:rsidRDefault="005F3DFE">
          <w:pPr>
            <w:pStyle w:val="TOC2"/>
            <w:tabs>
              <w:tab w:val="right" w:leader="dot" w:pos="9346"/>
            </w:tabs>
            <w:rPr>
              <w:rFonts w:ascii="Times New Roman" w:eastAsiaTheme="minorEastAsia" w:hAnsi="Times New Roman" w:cs="Times New Roman"/>
              <w:b w:val="0"/>
              <w:bCs w:val="0"/>
              <w:noProof/>
              <w:sz w:val="24"/>
              <w:szCs w:val="24"/>
              <w:lang w:eastAsia="bg-BG"/>
            </w:rPr>
          </w:pPr>
          <w:hyperlink w:anchor="_Toc535495205" w:history="1">
            <w:r w:rsidR="00C6537B" w:rsidRPr="00C7091C">
              <w:rPr>
                <w:rStyle w:val="Hyperlink"/>
                <w:rFonts w:ascii="Times New Roman" w:hAnsi="Times New Roman" w:cs="Times New Roman"/>
                <w:noProof/>
                <w:sz w:val="24"/>
                <w:szCs w:val="24"/>
              </w:rPr>
              <w:t>24.1. Списък с общи документи</w:t>
            </w:r>
            <w:r w:rsidR="00C6537B" w:rsidRPr="00C7091C">
              <w:rPr>
                <w:rFonts w:ascii="Times New Roman" w:hAnsi="Times New Roman" w:cs="Times New Roman"/>
                <w:noProof/>
                <w:webHidden/>
                <w:sz w:val="24"/>
                <w:szCs w:val="24"/>
              </w:rPr>
              <w:tab/>
            </w:r>
            <w:r w:rsidR="00C6537B" w:rsidRPr="00C7091C">
              <w:rPr>
                <w:rFonts w:ascii="Times New Roman" w:hAnsi="Times New Roman" w:cs="Times New Roman"/>
                <w:noProof/>
                <w:webHidden/>
                <w:sz w:val="24"/>
                <w:szCs w:val="24"/>
              </w:rPr>
              <w:fldChar w:fldCharType="begin"/>
            </w:r>
            <w:r w:rsidR="00C6537B" w:rsidRPr="00C7091C">
              <w:rPr>
                <w:rFonts w:ascii="Times New Roman" w:hAnsi="Times New Roman" w:cs="Times New Roman"/>
                <w:noProof/>
                <w:webHidden/>
                <w:sz w:val="24"/>
                <w:szCs w:val="24"/>
              </w:rPr>
              <w:instrText xml:space="preserve"> PAGEREF _Toc535495205 \h </w:instrText>
            </w:r>
            <w:r w:rsidR="00C6537B" w:rsidRPr="00C7091C">
              <w:rPr>
                <w:rFonts w:ascii="Times New Roman" w:hAnsi="Times New Roman" w:cs="Times New Roman"/>
                <w:noProof/>
                <w:webHidden/>
                <w:sz w:val="24"/>
                <w:szCs w:val="24"/>
              </w:rPr>
            </w:r>
            <w:r w:rsidR="00C6537B" w:rsidRPr="00C7091C">
              <w:rPr>
                <w:rFonts w:ascii="Times New Roman" w:hAnsi="Times New Roman" w:cs="Times New Roman"/>
                <w:noProof/>
                <w:webHidden/>
                <w:sz w:val="24"/>
                <w:szCs w:val="24"/>
              </w:rPr>
              <w:fldChar w:fldCharType="separate"/>
            </w:r>
            <w:r w:rsidR="00BD2B23">
              <w:rPr>
                <w:rFonts w:ascii="Times New Roman" w:hAnsi="Times New Roman" w:cs="Times New Roman"/>
                <w:noProof/>
                <w:webHidden/>
                <w:sz w:val="24"/>
                <w:szCs w:val="24"/>
              </w:rPr>
              <w:t>33</w:t>
            </w:r>
            <w:r w:rsidR="00C6537B" w:rsidRPr="00C7091C">
              <w:rPr>
                <w:rFonts w:ascii="Times New Roman" w:hAnsi="Times New Roman" w:cs="Times New Roman"/>
                <w:noProof/>
                <w:webHidden/>
                <w:sz w:val="24"/>
                <w:szCs w:val="24"/>
              </w:rPr>
              <w:fldChar w:fldCharType="end"/>
            </w:r>
          </w:hyperlink>
        </w:p>
        <w:p w14:paraId="43925AE1" w14:textId="77777777" w:rsidR="00C6537B" w:rsidRPr="00C7091C" w:rsidRDefault="005F3DFE">
          <w:pPr>
            <w:pStyle w:val="TOC2"/>
            <w:tabs>
              <w:tab w:val="right" w:leader="dot" w:pos="9346"/>
            </w:tabs>
            <w:rPr>
              <w:rFonts w:ascii="Times New Roman" w:eastAsiaTheme="minorEastAsia" w:hAnsi="Times New Roman" w:cs="Times New Roman"/>
              <w:b w:val="0"/>
              <w:bCs w:val="0"/>
              <w:noProof/>
              <w:sz w:val="24"/>
              <w:szCs w:val="24"/>
              <w:lang w:eastAsia="bg-BG"/>
            </w:rPr>
          </w:pPr>
          <w:hyperlink w:anchor="_Toc535495206" w:history="1">
            <w:r w:rsidR="00C6537B" w:rsidRPr="00C7091C">
              <w:rPr>
                <w:rStyle w:val="Hyperlink"/>
                <w:rFonts w:ascii="Times New Roman" w:hAnsi="Times New Roman" w:cs="Times New Roman"/>
                <w:noProof/>
                <w:sz w:val="24"/>
                <w:szCs w:val="24"/>
              </w:rPr>
              <w:t>24.2. Специфични документи</w:t>
            </w:r>
            <w:r w:rsidR="00C6537B" w:rsidRPr="00C7091C">
              <w:rPr>
                <w:rFonts w:ascii="Times New Roman" w:hAnsi="Times New Roman" w:cs="Times New Roman"/>
                <w:noProof/>
                <w:webHidden/>
                <w:sz w:val="24"/>
                <w:szCs w:val="24"/>
              </w:rPr>
              <w:tab/>
            </w:r>
            <w:r w:rsidR="00C6537B" w:rsidRPr="00C7091C">
              <w:rPr>
                <w:rFonts w:ascii="Times New Roman" w:hAnsi="Times New Roman" w:cs="Times New Roman"/>
                <w:noProof/>
                <w:webHidden/>
                <w:sz w:val="24"/>
                <w:szCs w:val="24"/>
              </w:rPr>
              <w:fldChar w:fldCharType="begin"/>
            </w:r>
            <w:r w:rsidR="00C6537B" w:rsidRPr="00C7091C">
              <w:rPr>
                <w:rFonts w:ascii="Times New Roman" w:hAnsi="Times New Roman" w:cs="Times New Roman"/>
                <w:noProof/>
                <w:webHidden/>
                <w:sz w:val="24"/>
                <w:szCs w:val="24"/>
              </w:rPr>
              <w:instrText xml:space="preserve"> PAGEREF _Toc535495206 \h </w:instrText>
            </w:r>
            <w:r w:rsidR="00C6537B" w:rsidRPr="00C7091C">
              <w:rPr>
                <w:rFonts w:ascii="Times New Roman" w:hAnsi="Times New Roman" w:cs="Times New Roman"/>
                <w:noProof/>
                <w:webHidden/>
                <w:sz w:val="24"/>
                <w:szCs w:val="24"/>
              </w:rPr>
            </w:r>
            <w:r w:rsidR="00C6537B" w:rsidRPr="00C7091C">
              <w:rPr>
                <w:rFonts w:ascii="Times New Roman" w:hAnsi="Times New Roman" w:cs="Times New Roman"/>
                <w:noProof/>
                <w:webHidden/>
                <w:sz w:val="24"/>
                <w:szCs w:val="24"/>
              </w:rPr>
              <w:fldChar w:fldCharType="separate"/>
            </w:r>
            <w:r w:rsidR="00BD2B23">
              <w:rPr>
                <w:rFonts w:ascii="Times New Roman" w:hAnsi="Times New Roman" w:cs="Times New Roman"/>
                <w:noProof/>
                <w:webHidden/>
                <w:sz w:val="24"/>
                <w:szCs w:val="24"/>
              </w:rPr>
              <w:t>37</w:t>
            </w:r>
            <w:r w:rsidR="00C6537B" w:rsidRPr="00C7091C">
              <w:rPr>
                <w:rFonts w:ascii="Times New Roman" w:hAnsi="Times New Roman" w:cs="Times New Roman"/>
                <w:noProof/>
                <w:webHidden/>
                <w:sz w:val="24"/>
                <w:szCs w:val="24"/>
              </w:rPr>
              <w:fldChar w:fldCharType="end"/>
            </w:r>
          </w:hyperlink>
        </w:p>
        <w:p w14:paraId="60B54260" w14:textId="77777777" w:rsidR="00C6537B" w:rsidRPr="00C7091C" w:rsidRDefault="005F3DFE">
          <w:pPr>
            <w:pStyle w:val="TOC1"/>
            <w:tabs>
              <w:tab w:val="right" w:leader="dot" w:pos="9346"/>
            </w:tabs>
            <w:rPr>
              <w:rFonts w:ascii="Times New Roman" w:eastAsiaTheme="minorEastAsia" w:hAnsi="Times New Roman" w:cs="Times New Roman"/>
              <w:b w:val="0"/>
              <w:bCs w:val="0"/>
              <w:noProof/>
              <w:lang w:eastAsia="bg-BG"/>
            </w:rPr>
          </w:pPr>
          <w:hyperlink w:anchor="_Toc535495207" w:history="1">
            <w:r w:rsidR="00C6537B" w:rsidRPr="00C7091C">
              <w:rPr>
                <w:rStyle w:val="Hyperlink"/>
                <w:rFonts w:ascii="Times New Roman" w:hAnsi="Times New Roman" w:cs="Times New Roman"/>
                <w:noProof/>
              </w:rPr>
              <w:t>25. Краен срок за подаване на проектните предложения:</w:t>
            </w:r>
            <w:r w:rsidR="00C6537B" w:rsidRPr="00C7091C">
              <w:rPr>
                <w:rFonts w:ascii="Times New Roman" w:hAnsi="Times New Roman" w:cs="Times New Roman"/>
                <w:noProof/>
                <w:webHidden/>
              </w:rPr>
              <w:tab/>
            </w:r>
            <w:r w:rsidR="00C6537B" w:rsidRPr="00C7091C">
              <w:rPr>
                <w:rFonts w:ascii="Times New Roman" w:hAnsi="Times New Roman" w:cs="Times New Roman"/>
                <w:noProof/>
                <w:webHidden/>
              </w:rPr>
              <w:fldChar w:fldCharType="begin"/>
            </w:r>
            <w:r w:rsidR="00C6537B" w:rsidRPr="00C7091C">
              <w:rPr>
                <w:rFonts w:ascii="Times New Roman" w:hAnsi="Times New Roman" w:cs="Times New Roman"/>
                <w:noProof/>
                <w:webHidden/>
              </w:rPr>
              <w:instrText xml:space="preserve"> PAGEREF _Toc535495207 \h </w:instrText>
            </w:r>
            <w:r w:rsidR="00C6537B" w:rsidRPr="00C7091C">
              <w:rPr>
                <w:rFonts w:ascii="Times New Roman" w:hAnsi="Times New Roman" w:cs="Times New Roman"/>
                <w:noProof/>
                <w:webHidden/>
              </w:rPr>
            </w:r>
            <w:r w:rsidR="00C6537B" w:rsidRPr="00C7091C">
              <w:rPr>
                <w:rFonts w:ascii="Times New Roman" w:hAnsi="Times New Roman" w:cs="Times New Roman"/>
                <w:noProof/>
                <w:webHidden/>
              </w:rPr>
              <w:fldChar w:fldCharType="separate"/>
            </w:r>
            <w:r w:rsidR="00BD2B23">
              <w:rPr>
                <w:rFonts w:ascii="Times New Roman" w:hAnsi="Times New Roman" w:cs="Times New Roman"/>
                <w:noProof/>
                <w:webHidden/>
              </w:rPr>
              <w:t>38</w:t>
            </w:r>
            <w:r w:rsidR="00C6537B" w:rsidRPr="00C7091C">
              <w:rPr>
                <w:rFonts w:ascii="Times New Roman" w:hAnsi="Times New Roman" w:cs="Times New Roman"/>
                <w:noProof/>
                <w:webHidden/>
              </w:rPr>
              <w:fldChar w:fldCharType="end"/>
            </w:r>
          </w:hyperlink>
        </w:p>
        <w:p w14:paraId="24C05882" w14:textId="77777777" w:rsidR="00C6537B" w:rsidRPr="00C7091C" w:rsidRDefault="005F3DFE">
          <w:pPr>
            <w:pStyle w:val="TOC1"/>
            <w:tabs>
              <w:tab w:val="right" w:leader="dot" w:pos="9346"/>
            </w:tabs>
            <w:rPr>
              <w:rFonts w:ascii="Times New Roman" w:eastAsiaTheme="minorEastAsia" w:hAnsi="Times New Roman" w:cs="Times New Roman"/>
              <w:b w:val="0"/>
              <w:bCs w:val="0"/>
              <w:noProof/>
              <w:lang w:eastAsia="bg-BG"/>
            </w:rPr>
          </w:pPr>
          <w:hyperlink w:anchor="_Toc535495208" w:history="1">
            <w:r w:rsidR="00C6537B" w:rsidRPr="00C7091C">
              <w:rPr>
                <w:rStyle w:val="Hyperlink"/>
                <w:rFonts w:ascii="Times New Roman" w:hAnsi="Times New Roman" w:cs="Times New Roman"/>
                <w:noProof/>
              </w:rPr>
              <w:t>26. Адрес за подаване на проектните предложения</w:t>
            </w:r>
            <w:r w:rsidR="00C6537B" w:rsidRPr="00C7091C">
              <w:rPr>
                <w:rFonts w:ascii="Times New Roman" w:hAnsi="Times New Roman" w:cs="Times New Roman"/>
                <w:noProof/>
                <w:webHidden/>
              </w:rPr>
              <w:tab/>
            </w:r>
            <w:r w:rsidR="00C6537B" w:rsidRPr="00C7091C">
              <w:rPr>
                <w:rFonts w:ascii="Times New Roman" w:hAnsi="Times New Roman" w:cs="Times New Roman"/>
                <w:noProof/>
                <w:webHidden/>
              </w:rPr>
              <w:fldChar w:fldCharType="begin"/>
            </w:r>
            <w:r w:rsidR="00C6537B" w:rsidRPr="00C7091C">
              <w:rPr>
                <w:rFonts w:ascii="Times New Roman" w:hAnsi="Times New Roman" w:cs="Times New Roman"/>
                <w:noProof/>
                <w:webHidden/>
              </w:rPr>
              <w:instrText xml:space="preserve"> PAGEREF _Toc535495208 \h </w:instrText>
            </w:r>
            <w:r w:rsidR="00C6537B" w:rsidRPr="00C7091C">
              <w:rPr>
                <w:rFonts w:ascii="Times New Roman" w:hAnsi="Times New Roman" w:cs="Times New Roman"/>
                <w:noProof/>
                <w:webHidden/>
              </w:rPr>
            </w:r>
            <w:r w:rsidR="00C6537B" w:rsidRPr="00C7091C">
              <w:rPr>
                <w:rFonts w:ascii="Times New Roman" w:hAnsi="Times New Roman" w:cs="Times New Roman"/>
                <w:noProof/>
                <w:webHidden/>
              </w:rPr>
              <w:fldChar w:fldCharType="separate"/>
            </w:r>
            <w:r w:rsidR="00BD2B23">
              <w:rPr>
                <w:rFonts w:ascii="Times New Roman" w:hAnsi="Times New Roman" w:cs="Times New Roman"/>
                <w:noProof/>
                <w:webHidden/>
              </w:rPr>
              <w:t>38</w:t>
            </w:r>
            <w:r w:rsidR="00C6537B" w:rsidRPr="00C7091C">
              <w:rPr>
                <w:rFonts w:ascii="Times New Roman" w:hAnsi="Times New Roman" w:cs="Times New Roman"/>
                <w:noProof/>
                <w:webHidden/>
              </w:rPr>
              <w:fldChar w:fldCharType="end"/>
            </w:r>
          </w:hyperlink>
        </w:p>
        <w:p w14:paraId="021041D5" w14:textId="77777777" w:rsidR="00C6537B" w:rsidRPr="00C7091C" w:rsidRDefault="005F3DFE">
          <w:pPr>
            <w:pStyle w:val="TOC1"/>
            <w:tabs>
              <w:tab w:val="right" w:leader="dot" w:pos="9346"/>
            </w:tabs>
            <w:rPr>
              <w:rFonts w:ascii="Times New Roman" w:eastAsiaTheme="minorEastAsia" w:hAnsi="Times New Roman" w:cs="Times New Roman"/>
              <w:b w:val="0"/>
              <w:bCs w:val="0"/>
              <w:noProof/>
              <w:lang w:eastAsia="bg-BG"/>
            </w:rPr>
          </w:pPr>
          <w:hyperlink w:anchor="_Toc535495209" w:history="1">
            <w:r w:rsidR="00C6537B" w:rsidRPr="00C7091C">
              <w:rPr>
                <w:rStyle w:val="Hyperlink"/>
                <w:rFonts w:ascii="Times New Roman" w:hAnsi="Times New Roman" w:cs="Times New Roman"/>
                <w:noProof/>
              </w:rPr>
              <w:t>27. Допълнителна информация:</w:t>
            </w:r>
            <w:r w:rsidR="00C6537B" w:rsidRPr="00C7091C">
              <w:rPr>
                <w:rFonts w:ascii="Times New Roman" w:hAnsi="Times New Roman" w:cs="Times New Roman"/>
                <w:noProof/>
                <w:webHidden/>
              </w:rPr>
              <w:tab/>
            </w:r>
            <w:r w:rsidR="00C6537B" w:rsidRPr="00C7091C">
              <w:rPr>
                <w:rFonts w:ascii="Times New Roman" w:hAnsi="Times New Roman" w:cs="Times New Roman"/>
                <w:noProof/>
                <w:webHidden/>
              </w:rPr>
              <w:fldChar w:fldCharType="begin"/>
            </w:r>
            <w:r w:rsidR="00C6537B" w:rsidRPr="00C7091C">
              <w:rPr>
                <w:rFonts w:ascii="Times New Roman" w:hAnsi="Times New Roman" w:cs="Times New Roman"/>
                <w:noProof/>
                <w:webHidden/>
              </w:rPr>
              <w:instrText xml:space="preserve"> PAGEREF _Toc535495209 \h </w:instrText>
            </w:r>
            <w:r w:rsidR="00C6537B" w:rsidRPr="00C7091C">
              <w:rPr>
                <w:rFonts w:ascii="Times New Roman" w:hAnsi="Times New Roman" w:cs="Times New Roman"/>
                <w:noProof/>
                <w:webHidden/>
              </w:rPr>
            </w:r>
            <w:r w:rsidR="00C6537B" w:rsidRPr="00C7091C">
              <w:rPr>
                <w:rFonts w:ascii="Times New Roman" w:hAnsi="Times New Roman" w:cs="Times New Roman"/>
                <w:noProof/>
                <w:webHidden/>
              </w:rPr>
              <w:fldChar w:fldCharType="separate"/>
            </w:r>
            <w:r w:rsidR="00BD2B23">
              <w:rPr>
                <w:rFonts w:ascii="Times New Roman" w:hAnsi="Times New Roman" w:cs="Times New Roman"/>
                <w:noProof/>
                <w:webHidden/>
              </w:rPr>
              <w:t>39</w:t>
            </w:r>
            <w:r w:rsidR="00C6537B" w:rsidRPr="00C7091C">
              <w:rPr>
                <w:rFonts w:ascii="Times New Roman" w:hAnsi="Times New Roman" w:cs="Times New Roman"/>
                <w:noProof/>
                <w:webHidden/>
              </w:rPr>
              <w:fldChar w:fldCharType="end"/>
            </w:r>
          </w:hyperlink>
        </w:p>
        <w:p w14:paraId="44BA2A3F" w14:textId="77777777" w:rsidR="00C6537B" w:rsidRPr="00C7091C" w:rsidRDefault="005F3DFE">
          <w:pPr>
            <w:pStyle w:val="TOC2"/>
            <w:tabs>
              <w:tab w:val="right" w:leader="dot" w:pos="9346"/>
            </w:tabs>
            <w:rPr>
              <w:rFonts w:ascii="Times New Roman" w:eastAsiaTheme="minorEastAsia" w:hAnsi="Times New Roman" w:cs="Times New Roman"/>
              <w:b w:val="0"/>
              <w:bCs w:val="0"/>
              <w:noProof/>
              <w:sz w:val="24"/>
              <w:szCs w:val="24"/>
              <w:lang w:eastAsia="bg-BG"/>
            </w:rPr>
          </w:pPr>
          <w:hyperlink w:anchor="_Toc535495210" w:history="1">
            <w:r w:rsidR="00C6537B" w:rsidRPr="00C7091C">
              <w:rPr>
                <w:rStyle w:val="Hyperlink"/>
                <w:rFonts w:ascii="Times New Roman" w:hAnsi="Times New Roman" w:cs="Times New Roman"/>
                <w:noProof/>
                <w:sz w:val="24"/>
                <w:szCs w:val="24"/>
              </w:rPr>
              <w:t>27.1.Допълнителни въпроси и разяснения във връзка с Условията за кандидатстване</w:t>
            </w:r>
            <w:r w:rsidR="00C6537B" w:rsidRPr="00C7091C">
              <w:rPr>
                <w:rFonts w:ascii="Times New Roman" w:hAnsi="Times New Roman" w:cs="Times New Roman"/>
                <w:noProof/>
                <w:webHidden/>
                <w:sz w:val="24"/>
                <w:szCs w:val="24"/>
              </w:rPr>
              <w:tab/>
            </w:r>
            <w:r w:rsidR="00C6537B" w:rsidRPr="00C7091C">
              <w:rPr>
                <w:rFonts w:ascii="Times New Roman" w:hAnsi="Times New Roman" w:cs="Times New Roman"/>
                <w:noProof/>
                <w:webHidden/>
                <w:sz w:val="24"/>
                <w:szCs w:val="24"/>
              </w:rPr>
              <w:fldChar w:fldCharType="begin"/>
            </w:r>
            <w:r w:rsidR="00C6537B" w:rsidRPr="00C7091C">
              <w:rPr>
                <w:rFonts w:ascii="Times New Roman" w:hAnsi="Times New Roman" w:cs="Times New Roman"/>
                <w:noProof/>
                <w:webHidden/>
                <w:sz w:val="24"/>
                <w:szCs w:val="24"/>
              </w:rPr>
              <w:instrText xml:space="preserve"> PAGEREF _Toc535495210 \h </w:instrText>
            </w:r>
            <w:r w:rsidR="00C6537B" w:rsidRPr="00C7091C">
              <w:rPr>
                <w:rFonts w:ascii="Times New Roman" w:hAnsi="Times New Roman" w:cs="Times New Roman"/>
                <w:noProof/>
                <w:webHidden/>
                <w:sz w:val="24"/>
                <w:szCs w:val="24"/>
              </w:rPr>
            </w:r>
            <w:r w:rsidR="00C6537B" w:rsidRPr="00C7091C">
              <w:rPr>
                <w:rFonts w:ascii="Times New Roman" w:hAnsi="Times New Roman" w:cs="Times New Roman"/>
                <w:noProof/>
                <w:webHidden/>
                <w:sz w:val="24"/>
                <w:szCs w:val="24"/>
              </w:rPr>
              <w:fldChar w:fldCharType="separate"/>
            </w:r>
            <w:r w:rsidR="00BD2B23">
              <w:rPr>
                <w:rFonts w:ascii="Times New Roman" w:hAnsi="Times New Roman" w:cs="Times New Roman"/>
                <w:noProof/>
                <w:webHidden/>
                <w:sz w:val="24"/>
                <w:szCs w:val="24"/>
              </w:rPr>
              <w:t>40</w:t>
            </w:r>
            <w:r w:rsidR="00C6537B" w:rsidRPr="00C7091C">
              <w:rPr>
                <w:rFonts w:ascii="Times New Roman" w:hAnsi="Times New Roman" w:cs="Times New Roman"/>
                <w:noProof/>
                <w:webHidden/>
                <w:sz w:val="24"/>
                <w:szCs w:val="24"/>
              </w:rPr>
              <w:fldChar w:fldCharType="end"/>
            </w:r>
          </w:hyperlink>
        </w:p>
        <w:p w14:paraId="34F390A0" w14:textId="77777777" w:rsidR="00C6537B" w:rsidRPr="00C7091C" w:rsidRDefault="005F3DFE">
          <w:pPr>
            <w:pStyle w:val="TOC2"/>
            <w:tabs>
              <w:tab w:val="right" w:leader="dot" w:pos="9346"/>
            </w:tabs>
            <w:rPr>
              <w:rFonts w:ascii="Times New Roman" w:eastAsiaTheme="minorEastAsia" w:hAnsi="Times New Roman" w:cs="Times New Roman"/>
              <w:b w:val="0"/>
              <w:bCs w:val="0"/>
              <w:noProof/>
              <w:sz w:val="24"/>
              <w:szCs w:val="24"/>
              <w:lang w:eastAsia="bg-BG"/>
            </w:rPr>
          </w:pPr>
          <w:hyperlink w:anchor="_Toc535495211" w:history="1">
            <w:r w:rsidR="00C6537B" w:rsidRPr="00C7091C">
              <w:rPr>
                <w:rStyle w:val="Hyperlink"/>
                <w:rFonts w:ascii="Times New Roman" w:hAnsi="Times New Roman" w:cs="Times New Roman"/>
                <w:noProof/>
                <w:sz w:val="24"/>
                <w:szCs w:val="24"/>
              </w:rPr>
              <w:t>27.2. Уведомяване относно предварителното решение на МИГ</w:t>
            </w:r>
            <w:r w:rsidR="00C6537B" w:rsidRPr="00C7091C">
              <w:rPr>
                <w:rFonts w:ascii="Times New Roman" w:hAnsi="Times New Roman" w:cs="Times New Roman"/>
                <w:noProof/>
                <w:webHidden/>
                <w:sz w:val="24"/>
                <w:szCs w:val="24"/>
              </w:rPr>
              <w:tab/>
            </w:r>
            <w:r w:rsidR="00C6537B" w:rsidRPr="00C7091C">
              <w:rPr>
                <w:rFonts w:ascii="Times New Roman" w:hAnsi="Times New Roman" w:cs="Times New Roman"/>
                <w:noProof/>
                <w:webHidden/>
                <w:sz w:val="24"/>
                <w:szCs w:val="24"/>
              </w:rPr>
              <w:fldChar w:fldCharType="begin"/>
            </w:r>
            <w:r w:rsidR="00C6537B" w:rsidRPr="00C7091C">
              <w:rPr>
                <w:rFonts w:ascii="Times New Roman" w:hAnsi="Times New Roman" w:cs="Times New Roman"/>
                <w:noProof/>
                <w:webHidden/>
                <w:sz w:val="24"/>
                <w:szCs w:val="24"/>
              </w:rPr>
              <w:instrText xml:space="preserve"> PAGEREF _Toc535495211 \h </w:instrText>
            </w:r>
            <w:r w:rsidR="00C6537B" w:rsidRPr="00C7091C">
              <w:rPr>
                <w:rFonts w:ascii="Times New Roman" w:hAnsi="Times New Roman" w:cs="Times New Roman"/>
                <w:noProof/>
                <w:webHidden/>
                <w:sz w:val="24"/>
                <w:szCs w:val="24"/>
              </w:rPr>
            </w:r>
            <w:r w:rsidR="00C6537B" w:rsidRPr="00C7091C">
              <w:rPr>
                <w:rFonts w:ascii="Times New Roman" w:hAnsi="Times New Roman" w:cs="Times New Roman"/>
                <w:noProof/>
                <w:webHidden/>
                <w:sz w:val="24"/>
                <w:szCs w:val="24"/>
              </w:rPr>
              <w:fldChar w:fldCharType="separate"/>
            </w:r>
            <w:r w:rsidR="00BD2B23">
              <w:rPr>
                <w:rFonts w:ascii="Times New Roman" w:hAnsi="Times New Roman" w:cs="Times New Roman"/>
                <w:noProof/>
                <w:webHidden/>
                <w:sz w:val="24"/>
                <w:szCs w:val="24"/>
              </w:rPr>
              <w:t>41</w:t>
            </w:r>
            <w:r w:rsidR="00C6537B" w:rsidRPr="00C7091C">
              <w:rPr>
                <w:rFonts w:ascii="Times New Roman" w:hAnsi="Times New Roman" w:cs="Times New Roman"/>
                <w:noProof/>
                <w:webHidden/>
                <w:sz w:val="24"/>
                <w:szCs w:val="24"/>
              </w:rPr>
              <w:fldChar w:fldCharType="end"/>
            </w:r>
          </w:hyperlink>
        </w:p>
        <w:p w14:paraId="7F001D84" w14:textId="77777777" w:rsidR="00C6537B" w:rsidRPr="00C7091C" w:rsidRDefault="005F3DFE">
          <w:pPr>
            <w:pStyle w:val="TOC2"/>
            <w:tabs>
              <w:tab w:val="right" w:leader="dot" w:pos="9346"/>
            </w:tabs>
            <w:rPr>
              <w:rFonts w:ascii="Times New Roman" w:eastAsiaTheme="minorEastAsia" w:hAnsi="Times New Roman" w:cs="Times New Roman"/>
              <w:b w:val="0"/>
              <w:bCs w:val="0"/>
              <w:noProof/>
              <w:sz w:val="24"/>
              <w:szCs w:val="24"/>
              <w:lang w:eastAsia="bg-BG"/>
            </w:rPr>
          </w:pPr>
          <w:hyperlink w:anchor="_Toc535495212" w:history="1">
            <w:r w:rsidR="00C6537B" w:rsidRPr="00C7091C">
              <w:rPr>
                <w:rStyle w:val="Hyperlink"/>
                <w:rFonts w:ascii="Times New Roman" w:hAnsi="Times New Roman" w:cs="Times New Roman"/>
                <w:noProof/>
                <w:sz w:val="24"/>
                <w:szCs w:val="24"/>
              </w:rPr>
              <w:t>27.3. Процедура за възражения относно оценката</w:t>
            </w:r>
            <w:r w:rsidR="00C6537B" w:rsidRPr="00C7091C">
              <w:rPr>
                <w:rFonts w:ascii="Times New Roman" w:hAnsi="Times New Roman" w:cs="Times New Roman"/>
                <w:noProof/>
                <w:webHidden/>
                <w:sz w:val="24"/>
                <w:szCs w:val="24"/>
              </w:rPr>
              <w:tab/>
            </w:r>
            <w:r w:rsidR="00C6537B" w:rsidRPr="00C7091C">
              <w:rPr>
                <w:rFonts w:ascii="Times New Roman" w:hAnsi="Times New Roman" w:cs="Times New Roman"/>
                <w:noProof/>
                <w:webHidden/>
                <w:sz w:val="24"/>
                <w:szCs w:val="24"/>
              </w:rPr>
              <w:fldChar w:fldCharType="begin"/>
            </w:r>
            <w:r w:rsidR="00C6537B" w:rsidRPr="00C7091C">
              <w:rPr>
                <w:rFonts w:ascii="Times New Roman" w:hAnsi="Times New Roman" w:cs="Times New Roman"/>
                <w:noProof/>
                <w:webHidden/>
                <w:sz w:val="24"/>
                <w:szCs w:val="24"/>
              </w:rPr>
              <w:instrText xml:space="preserve"> PAGEREF _Toc535495212 \h </w:instrText>
            </w:r>
            <w:r w:rsidR="00C6537B" w:rsidRPr="00C7091C">
              <w:rPr>
                <w:rFonts w:ascii="Times New Roman" w:hAnsi="Times New Roman" w:cs="Times New Roman"/>
                <w:noProof/>
                <w:webHidden/>
                <w:sz w:val="24"/>
                <w:szCs w:val="24"/>
              </w:rPr>
            </w:r>
            <w:r w:rsidR="00C6537B" w:rsidRPr="00C7091C">
              <w:rPr>
                <w:rFonts w:ascii="Times New Roman" w:hAnsi="Times New Roman" w:cs="Times New Roman"/>
                <w:noProof/>
                <w:webHidden/>
                <w:sz w:val="24"/>
                <w:szCs w:val="24"/>
              </w:rPr>
              <w:fldChar w:fldCharType="separate"/>
            </w:r>
            <w:r w:rsidR="00BD2B23">
              <w:rPr>
                <w:rFonts w:ascii="Times New Roman" w:hAnsi="Times New Roman" w:cs="Times New Roman"/>
                <w:noProof/>
                <w:webHidden/>
                <w:sz w:val="24"/>
                <w:szCs w:val="24"/>
              </w:rPr>
              <w:t>41</w:t>
            </w:r>
            <w:r w:rsidR="00C6537B" w:rsidRPr="00C7091C">
              <w:rPr>
                <w:rFonts w:ascii="Times New Roman" w:hAnsi="Times New Roman" w:cs="Times New Roman"/>
                <w:noProof/>
                <w:webHidden/>
                <w:sz w:val="24"/>
                <w:szCs w:val="24"/>
              </w:rPr>
              <w:fldChar w:fldCharType="end"/>
            </w:r>
          </w:hyperlink>
        </w:p>
        <w:p w14:paraId="42795786" w14:textId="77777777" w:rsidR="00C6537B" w:rsidRPr="00C7091C" w:rsidRDefault="005F3DFE">
          <w:pPr>
            <w:pStyle w:val="TOC1"/>
            <w:tabs>
              <w:tab w:val="right" w:leader="dot" w:pos="9346"/>
            </w:tabs>
            <w:rPr>
              <w:rFonts w:ascii="Times New Roman" w:eastAsiaTheme="minorEastAsia" w:hAnsi="Times New Roman" w:cs="Times New Roman"/>
              <w:b w:val="0"/>
              <w:bCs w:val="0"/>
              <w:noProof/>
              <w:lang w:eastAsia="bg-BG"/>
            </w:rPr>
          </w:pPr>
          <w:hyperlink w:anchor="_Toc535495213" w:history="1">
            <w:r w:rsidR="00C6537B" w:rsidRPr="00C7091C">
              <w:rPr>
                <w:rStyle w:val="Hyperlink"/>
                <w:rFonts w:ascii="Times New Roman" w:hAnsi="Times New Roman" w:cs="Times New Roman"/>
                <w:noProof/>
              </w:rPr>
              <w:t>28. Приложения към Условията за кандидатстване:</w:t>
            </w:r>
            <w:r w:rsidR="00C6537B" w:rsidRPr="00C7091C">
              <w:rPr>
                <w:rFonts w:ascii="Times New Roman" w:hAnsi="Times New Roman" w:cs="Times New Roman"/>
                <w:noProof/>
                <w:webHidden/>
              </w:rPr>
              <w:tab/>
            </w:r>
            <w:r w:rsidR="00C6537B" w:rsidRPr="00C7091C">
              <w:rPr>
                <w:rFonts w:ascii="Times New Roman" w:hAnsi="Times New Roman" w:cs="Times New Roman"/>
                <w:noProof/>
                <w:webHidden/>
              </w:rPr>
              <w:fldChar w:fldCharType="begin"/>
            </w:r>
            <w:r w:rsidR="00C6537B" w:rsidRPr="00C7091C">
              <w:rPr>
                <w:rFonts w:ascii="Times New Roman" w:hAnsi="Times New Roman" w:cs="Times New Roman"/>
                <w:noProof/>
                <w:webHidden/>
              </w:rPr>
              <w:instrText xml:space="preserve"> PAGEREF _Toc535495213 \h </w:instrText>
            </w:r>
            <w:r w:rsidR="00C6537B" w:rsidRPr="00C7091C">
              <w:rPr>
                <w:rFonts w:ascii="Times New Roman" w:hAnsi="Times New Roman" w:cs="Times New Roman"/>
                <w:noProof/>
                <w:webHidden/>
              </w:rPr>
            </w:r>
            <w:r w:rsidR="00C6537B" w:rsidRPr="00C7091C">
              <w:rPr>
                <w:rFonts w:ascii="Times New Roman" w:hAnsi="Times New Roman" w:cs="Times New Roman"/>
                <w:noProof/>
                <w:webHidden/>
              </w:rPr>
              <w:fldChar w:fldCharType="separate"/>
            </w:r>
            <w:r w:rsidR="00BD2B23">
              <w:rPr>
                <w:rFonts w:ascii="Times New Roman" w:hAnsi="Times New Roman" w:cs="Times New Roman"/>
                <w:noProof/>
                <w:webHidden/>
              </w:rPr>
              <w:t>41</w:t>
            </w:r>
            <w:r w:rsidR="00C6537B" w:rsidRPr="00C7091C">
              <w:rPr>
                <w:rFonts w:ascii="Times New Roman" w:hAnsi="Times New Roman" w:cs="Times New Roman"/>
                <w:noProof/>
                <w:webHidden/>
              </w:rPr>
              <w:fldChar w:fldCharType="end"/>
            </w:r>
          </w:hyperlink>
        </w:p>
        <w:p w14:paraId="46A23674" w14:textId="77777777" w:rsidR="0035525C" w:rsidRPr="00C7091C" w:rsidRDefault="0035525C">
          <w:pPr>
            <w:rPr>
              <w:rFonts w:ascii="Times New Roman" w:hAnsi="Times New Roman" w:cs="Times New Roman"/>
              <w:sz w:val="24"/>
              <w:szCs w:val="24"/>
            </w:rPr>
          </w:pPr>
          <w:r w:rsidRPr="00C7091C">
            <w:rPr>
              <w:rFonts w:ascii="Times New Roman" w:hAnsi="Times New Roman" w:cs="Times New Roman"/>
              <w:b/>
              <w:bCs/>
              <w:sz w:val="24"/>
              <w:szCs w:val="24"/>
            </w:rPr>
            <w:fldChar w:fldCharType="end"/>
          </w:r>
        </w:p>
      </w:sdtContent>
    </w:sdt>
    <w:p w14:paraId="580FD389" w14:textId="77777777" w:rsidR="00681629" w:rsidRPr="00C7091C" w:rsidRDefault="00681629">
      <w:pPr>
        <w:rPr>
          <w:rFonts w:ascii="Times New Roman" w:hAnsi="Times New Roman" w:cs="Times New Roman"/>
          <w:b/>
          <w:sz w:val="24"/>
          <w:szCs w:val="24"/>
        </w:rPr>
      </w:pPr>
    </w:p>
    <w:p w14:paraId="72330EFA" w14:textId="77777777" w:rsidR="007F5391" w:rsidRPr="00FD78FC" w:rsidRDefault="007F5391">
      <w:pPr>
        <w:rPr>
          <w:rFonts w:ascii="Times New Roman" w:hAnsi="Times New Roman" w:cs="Times New Roman"/>
          <w:b/>
          <w:sz w:val="28"/>
          <w:szCs w:val="28"/>
        </w:rPr>
      </w:pPr>
    </w:p>
    <w:p w14:paraId="2BD26F5A" w14:textId="77777777" w:rsidR="007F5391" w:rsidRPr="007713C1" w:rsidRDefault="007F5391" w:rsidP="006318F6">
      <w:pPr>
        <w:pStyle w:val="Guidelines1"/>
        <w:tabs>
          <w:tab w:val="clear" w:pos="180"/>
        </w:tabs>
        <w:spacing w:after="120"/>
        <w:ind w:left="0" w:right="23" w:firstLine="0"/>
        <w:jc w:val="left"/>
        <w:rPr>
          <w:b/>
          <w:sz w:val="22"/>
          <w:szCs w:val="22"/>
          <w:lang w:val="bg-BG"/>
        </w:rPr>
      </w:pPr>
      <w:r w:rsidRPr="007713C1">
        <w:rPr>
          <w:b/>
          <w:sz w:val="22"/>
          <w:szCs w:val="22"/>
          <w:lang w:val="bg-BG"/>
        </w:rPr>
        <w:lastRenderedPageBreak/>
        <w:t>ОБЯСНИТЕЛНИ БЕЛЕЖКИ</w:t>
      </w:r>
    </w:p>
    <w:tbl>
      <w:tblPr>
        <w:tblW w:w="94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CCFFFF"/>
        <w:tblLayout w:type="fixed"/>
        <w:tblCellMar>
          <w:left w:w="70" w:type="dxa"/>
          <w:right w:w="70" w:type="dxa"/>
        </w:tblCellMar>
        <w:tblLook w:val="0000" w:firstRow="0" w:lastRow="0" w:firstColumn="0" w:lastColumn="0" w:noHBand="0" w:noVBand="0"/>
      </w:tblPr>
      <w:tblGrid>
        <w:gridCol w:w="3130"/>
        <w:gridCol w:w="6296"/>
      </w:tblGrid>
      <w:tr w:rsidR="007F5391" w:rsidRPr="007713C1" w14:paraId="07A30651" w14:textId="77777777" w:rsidTr="007F5391">
        <w:tc>
          <w:tcPr>
            <w:tcW w:w="3130" w:type="dxa"/>
            <w:shd w:val="clear" w:color="auto" w:fill="auto"/>
          </w:tcPr>
          <w:p w14:paraId="4306A424" w14:textId="77777777" w:rsidR="007F5391" w:rsidRPr="007713C1" w:rsidRDefault="007F5391" w:rsidP="007F5391">
            <w:pPr>
              <w:shd w:val="clear" w:color="auto" w:fill="FFFFFF"/>
              <w:tabs>
                <w:tab w:val="right" w:leader="dot" w:pos="9720"/>
              </w:tabs>
              <w:ind w:right="201"/>
              <w:rPr>
                <w:rFonts w:ascii="Times New Roman" w:hAnsi="Times New Roman" w:cs="Times New Roman"/>
                <w:b/>
              </w:rPr>
            </w:pPr>
            <w:r w:rsidRPr="007713C1">
              <w:rPr>
                <w:rFonts w:ascii="Times New Roman" w:hAnsi="Times New Roman" w:cs="Times New Roman"/>
                <w:b/>
              </w:rPr>
              <w:t xml:space="preserve">Управляващ орган </w:t>
            </w:r>
          </w:p>
        </w:tc>
        <w:tc>
          <w:tcPr>
            <w:tcW w:w="6296" w:type="dxa"/>
            <w:shd w:val="clear" w:color="auto" w:fill="auto"/>
          </w:tcPr>
          <w:p w14:paraId="70D3C7C0" w14:textId="77777777" w:rsidR="007F5391" w:rsidRPr="007713C1" w:rsidRDefault="007F5391" w:rsidP="007F5391">
            <w:pPr>
              <w:shd w:val="clear" w:color="auto" w:fill="FFFFFF"/>
              <w:tabs>
                <w:tab w:val="right" w:leader="dot" w:pos="9720"/>
              </w:tabs>
              <w:ind w:right="201"/>
              <w:jc w:val="both"/>
              <w:rPr>
                <w:rFonts w:ascii="Times New Roman" w:hAnsi="Times New Roman" w:cs="Times New Roman"/>
              </w:rPr>
            </w:pPr>
            <w:r w:rsidRPr="007713C1">
              <w:rPr>
                <w:rFonts w:ascii="Times New Roman" w:hAnsi="Times New Roman" w:cs="Times New Roman"/>
              </w:rPr>
              <w:t>Национален, регионален или местен публичен орган, определен да управлява оперативна програма, съгласно Решение № 823/21.10.2015 г. на Министерски съвет.</w:t>
            </w:r>
          </w:p>
        </w:tc>
      </w:tr>
      <w:tr w:rsidR="007F5391" w:rsidRPr="007713C1" w14:paraId="64A91D76" w14:textId="77777777" w:rsidTr="007F5391">
        <w:tc>
          <w:tcPr>
            <w:tcW w:w="3130" w:type="dxa"/>
            <w:shd w:val="clear" w:color="auto" w:fill="auto"/>
          </w:tcPr>
          <w:p w14:paraId="143604C1" w14:textId="77777777" w:rsidR="007F5391" w:rsidRPr="007713C1" w:rsidRDefault="007F5391" w:rsidP="007F5391">
            <w:pPr>
              <w:shd w:val="clear" w:color="auto" w:fill="FFFFFF"/>
              <w:tabs>
                <w:tab w:val="right" w:leader="dot" w:pos="9720"/>
              </w:tabs>
              <w:ind w:right="201"/>
              <w:rPr>
                <w:rFonts w:ascii="Times New Roman" w:hAnsi="Times New Roman" w:cs="Times New Roman"/>
                <w:b/>
              </w:rPr>
            </w:pPr>
            <w:r w:rsidRPr="007713C1">
              <w:rPr>
                <w:rFonts w:ascii="Times New Roman" w:hAnsi="Times New Roman" w:cs="Times New Roman"/>
                <w:b/>
              </w:rPr>
              <w:t>Кандидати за безвъзмездна финансова помощ</w:t>
            </w:r>
          </w:p>
        </w:tc>
        <w:tc>
          <w:tcPr>
            <w:tcW w:w="6296" w:type="dxa"/>
            <w:shd w:val="clear" w:color="auto" w:fill="auto"/>
          </w:tcPr>
          <w:p w14:paraId="776123D8" w14:textId="77777777" w:rsidR="007F5391" w:rsidRPr="007713C1" w:rsidRDefault="007F5391" w:rsidP="007F5391">
            <w:pPr>
              <w:shd w:val="clear" w:color="auto" w:fill="FFFFFF"/>
              <w:tabs>
                <w:tab w:val="right" w:leader="dot" w:pos="9720"/>
              </w:tabs>
              <w:autoSpaceDE w:val="0"/>
              <w:autoSpaceDN w:val="0"/>
              <w:adjustRightInd w:val="0"/>
              <w:ind w:right="201"/>
              <w:jc w:val="both"/>
              <w:rPr>
                <w:rFonts w:ascii="Times New Roman" w:hAnsi="Times New Roman" w:cs="Times New Roman"/>
                <w:color w:val="000000"/>
              </w:rPr>
            </w:pPr>
            <w:r w:rsidRPr="007713C1">
              <w:rPr>
                <w:rFonts w:ascii="Times New Roman" w:hAnsi="Times New Roman" w:cs="Times New Roman"/>
                <w:color w:val="000000"/>
              </w:rPr>
              <w:t xml:space="preserve">Кандидати за безвъзмездна финансова помощ са всички физически и юридически лица и техни обединения, които кандидатстват за безвъзмездна финансова помощ чрез подаване на проектно предложение. </w:t>
            </w:r>
          </w:p>
        </w:tc>
      </w:tr>
      <w:tr w:rsidR="007F5391" w:rsidRPr="007713C1" w14:paraId="187406F1" w14:textId="77777777" w:rsidTr="007F5391">
        <w:tc>
          <w:tcPr>
            <w:tcW w:w="3130" w:type="dxa"/>
            <w:shd w:val="clear" w:color="auto" w:fill="auto"/>
          </w:tcPr>
          <w:p w14:paraId="46DC2BC8" w14:textId="77777777" w:rsidR="007F5391" w:rsidRPr="007713C1" w:rsidRDefault="007F5391" w:rsidP="007F5391">
            <w:pPr>
              <w:shd w:val="clear" w:color="auto" w:fill="FFFFFF"/>
              <w:tabs>
                <w:tab w:val="right" w:leader="dot" w:pos="9720"/>
              </w:tabs>
              <w:autoSpaceDE w:val="0"/>
              <w:autoSpaceDN w:val="0"/>
              <w:adjustRightInd w:val="0"/>
              <w:ind w:right="201"/>
              <w:rPr>
                <w:rFonts w:ascii="Times New Roman" w:hAnsi="Times New Roman" w:cs="Times New Roman"/>
                <w:b/>
              </w:rPr>
            </w:pPr>
            <w:r w:rsidRPr="007713C1">
              <w:rPr>
                <w:rFonts w:ascii="Times New Roman" w:hAnsi="Times New Roman" w:cs="Times New Roman"/>
                <w:b/>
              </w:rPr>
              <w:t>Бенефициент (Бенефициер) на безвъзмездна финансова помощ</w:t>
            </w:r>
          </w:p>
        </w:tc>
        <w:tc>
          <w:tcPr>
            <w:tcW w:w="6296" w:type="dxa"/>
            <w:shd w:val="clear" w:color="auto" w:fill="auto"/>
          </w:tcPr>
          <w:p w14:paraId="0788716D" w14:textId="77777777" w:rsidR="007F5391" w:rsidRPr="007713C1" w:rsidRDefault="007F5391" w:rsidP="007F5391">
            <w:pPr>
              <w:pStyle w:val="CM1"/>
              <w:spacing w:after="120"/>
              <w:ind w:right="142"/>
              <w:jc w:val="both"/>
              <w:rPr>
                <w:rFonts w:ascii="Times New Roman" w:hAnsi="Times New Roman"/>
                <w:sz w:val="22"/>
                <w:szCs w:val="22"/>
              </w:rPr>
            </w:pPr>
            <w:r w:rsidRPr="007713C1">
              <w:rPr>
                <w:rFonts w:ascii="Times New Roman" w:hAnsi="Times New Roman"/>
                <w:sz w:val="22"/>
                <w:szCs w:val="22"/>
              </w:rPr>
              <w:t>Лицата, посочени в чл.2, ал. 10 от Регламент (ЕО) No</w:t>
            </w:r>
            <w:r w:rsidRPr="00FD78FC">
              <w:rPr>
                <w:rFonts w:ascii="Times New Roman" w:hAnsi="Times New Roman"/>
                <w:sz w:val="22"/>
                <w:szCs w:val="22"/>
              </w:rPr>
              <w:t xml:space="preserve"> </w:t>
            </w:r>
            <w:r w:rsidRPr="007713C1">
              <w:rPr>
                <w:rFonts w:ascii="Times New Roman" w:hAnsi="Times New Roman"/>
                <w:sz w:val="22"/>
                <w:szCs w:val="22"/>
              </w:rPr>
              <w:t xml:space="preserve">1303/2013 - публична или частна организация, които отговарят за започването или за започването и изпълнението на операции; и в контекста на схемите за държавни помощи, съгласно чл. 107, параграф 1 от ДФЕС – организация, която получава помощта; </w:t>
            </w:r>
          </w:p>
        </w:tc>
      </w:tr>
      <w:tr w:rsidR="007F5391" w:rsidRPr="007713C1" w14:paraId="7D223902" w14:textId="77777777" w:rsidTr="007F5391">
        <w:tc>
          <w:tcPr>
            <w:tcW w:w="3130" w:type="dxa"/>
            <w:shd w:val="clear" w:color="auto" w:fill="auto"/>
          </w:tcPr>
          <w:p w14:paraId="363B02B3" w14:textId="77777777" w:rsidR="007F5391" w:rsidRPr="007713C1" w:rsidRDefault="007F5391" w:rsidP="007F5391">
            <w:pPr>
              <w:shd w:val="clear" w:color="auto" w:fill="FFFFFF"/>
              <w:tabs>
                <w:tab w:val="right" w:leader="dot" w:pos="9720"/>
              </w:tabs>
              <w:ind w:right="201"/>
              <w:rPr>
                <w:rFonts w:ascii="Times New Roman" w:hAnsi="Times New Roman" w:cs="Times New Roman"/>
                <w:b/>
              </w:rPr>
            </w:pPr>
            <w:r w:rsidRPr="007713C1">
              <w:rPr>
                <w:rFonts w:ascii="Times New Roman" w:hAnsi="Times New Roman" w:cs="Times New Roman"/>
                <w:b/>
              </w:rPr>
              <w:t>Безвъзмездна финансова помощ</w:t>
            </w:r>
          </w:p>
        </w:tc>
        <w:tc>
          <w:tcPr>
            <w:tcW w:w="6296" w:type="dxa"/>
            <w:shd w:val="clear" w:color="auto" w:fill="auto"/>
          </w:tcPr>
          <w:p w14:paraId="10E35AE2" w14:textId="77777777" w:rsidR="007F5391" w:rsidRPr="007713C1" w:rsidRDefault="007F5391" w:rsidP="00DF496D">
            <w:pPr>
              <w:shd w:val="clear" w:color="auto" w:fill="FFFFFF"/>
              <w:tabs>
                <w:tab w:val="right" w:leader="dot" w:pos="9720"/>
              </w:tabs>
              <w:autoSpaceDE w:val="0"/>
              <w:autoSpaceDN w:val="0"/>
              <w:adjustRightInd w:val="0"/>
              <w:ind w:right="201"/>
              <w:jc w:val="both"/>
              <w:rPr>
                <w:rFonts w:ascii="Times New Roman" w:hAnsi="Times New Roman" w:cs="Times New Roman"/>
                <w:noProof/>
              </w:rPr>
            </w:pPr>
            <w:r w:rsidRPr="007713C1">
              <w:rPr>
                <w:rFonts w:ascii="Times New Roman" w:hAnsi="Times New Roman" w:cs="Times New Roman"/>
              </w:rPr>
              <w:t>Без това да противоречи на чл. 121 от Регламент (EO, Евроатом)</w:t>
            </w:r>
            <w:r w:rsidRPr="00FD78FC">
              <w:rPr>
                <w:rFonts w:ascii="Times New Roman" w:hAnsi="Times New Roman" w:cs="Times New Roman"/>
              </w:rPr>
              <w:t xml:space="preserve"> </w:t>
            </w:r>
            <w:r w:rsidRPr="007713C1">
              <w:rPr>
                <w:rFonts w:ascii="Times New Roman" w:hAnsi="Times New Roman" w:cs="Times New Roman"/>
              </w:rPr>
              <w:t>No</w:t>
            </w:r>
            <w:r w:rsidRPr="00FD78FC">
              <w:rPr>
                <w:rFonts w:ascii="Times New Roman" w:hAnsi="Times New Roman" w:cs="Times New Roman"/>
              </w:rPr>
              <w:t xml:space="preserve"> 966/2012, </w:t>
            </w:r>
            <w:r w:rsidRPr="007713C1">
              <w:rPr>
                <w:rFonts w:ascii="Times New Roman" w:hAnsi="Times New Roman" w:cs="Times New Roman"/>
              </w:rPr>
              <w:t xml:space="preserve">са средства, предоставени от </w:t>
            </w:r>
            <w:r w:rsidR="00DF496D">
              <w:rPr>
                <w:rFonts w:ascii="Times New Roman" w:hAnsi="Times New Roman" w:cs="Times New Roman"/>
              </w:rPr>
              <w:t>ПРСР</w:t>
            </w:r>
            <w:r w:rsidRPr="007713C1">
              <w:rPr>
                <w:rFonts w:ascii="Times New Roman" w:hAnsi="Times New Roman" w:cs="Times New Roman"/>
                <w:noProof/>
              </w:rPr>
              <w:t>, включително съответното национално съфинансиране, с цел изпълнението на одобрен проект, насочен към постигане на определени цели.</w:t>
            </w:r>
          </w:p>
        </w:tc>
      </w:tr>
      <w:tr w:rsidR="007F5391" w:rsidRPr="007713C1" w14:paraId="5E9AE0C5" w14:textId="77777777" w:rsidTr="007F5391">
        <w:tc>
          <w:tcPr>
            <w:tcW w:w="3130" w:type="dxa"/>
            <w:shd w:val="clear" w:color="auto" w:fill="auto"/>
          </w:tcPr>
          <w:p w14:paraId="24F208AD" w14:textId="77777777" w:rsidR="007F5391" w:rsidRPr="007713C1" w:rsidRDefault="007F5391" w:rsidP="007F5391">
            <w:pPr>
              <w:shd w:val="clear" w:color="auto" w:fill="FFFFFF"/>
              <w:tabs>
                <w:tab w:val="right" w:leader="dot" w:pos="9720"/>
              </w:tabs>
              <w:ind w:right="201"/>
              <w:rPr>
                <w:rFonts w:ascii="Times New Roman" w:hAnsi="Times New Roman" w:cs="Times New Roman"/>
                <w:b/>
              </w:rPr>
            </w:pPr>
            <w:r w:rsidRPr="007713C1">
              <w:rPr>
                <w:rFonts w:ascii="Times New Roman" w:hAnsi="Times New Roman" w:cs="Times New Roman"/>
                <w:b/>
              </w:rPr>
              <w:t xml:space="preserve">Проектно предложение </w:t>
            </w:r>
          </w:p>
        </w:tc>
        <w:tc>
          <w:tcPr>
            <w:tcW w:w="6296" w:type="dxa"/>
            <w:shd w:val="clear" w:color="auto" w:fill="auto"/>
          </w:tcPr>
          <w:p w14:paraId="74438D91" w14:textId="77777777" w:rsidR="007F5391" w:rsidRPr="007713C1" w:rsidRDefault="007F5391" w:rsidP="007F5391">
            <w:pPr>
              <w:shd w:val="clear" w:color="auto" w:fill="FFFFFF"/>
              <w:tabs>
                <w:tab w:val="right" w:leader="dot" w:pos="9720"/>
              </w:tabs>
              <w:autoSpaceDE w:val="0"/>
              <w:autoSpaceDN w:val="0"/>
              <w:adjustRightInd w:val="0"/>
              <w:ind w:right="201"/>
              <w:jc w:val="both"/>
              <w:rPr>
                <w:rFonts w:ascii="Times New Roman" w:hAnsi="Times New Roman" w:cs="Times New Roman"/>
              </w:rPr>
            </w:pPr>
            <w:r w:rsidRPr="007713C1">
              <w:rPr>
                <w:rFonts w:ascii="Times New Roman" w:hAnsi="Times New Roman" w:cs="Times New Roman"/>
              </w:rPr>
              <w:t>Предложение за предоставяне на безвъзмездна финансова помощ за изпълнението на определен проект, включващо формуляр за кандидатстване и други придружителни документи.</w:t>
            </w:r>
          </w:p>
        </w:tc>
      </w:tr>
      <w:tr w:rsidR="007F5391" w:rsidRPr="007713C1" w14:paraId="032AE371" w14:textId="77777777" w:rsidTr="007F5391">
        <w:tc>
          <w:tcPr>
            <w:tcW w:w="3130" w:type="dxa"/>
            <w:shd w:val="clear" w:color="auto" w:fill="auto"/>
          </w:tcPr>
          <w:p w14:paraId="76ADD163" w14:textId="77777777" w:rsidR="007F5391" w:rsidRPr="007713C1" w:rsidRDefault="007F5391" w:rsidP="007F5391">
            <w:pPr>
              <w:shd w:val="clear" w:color="auto" w:fill="FFFFFF"/>
              <w:tabs>
                <w:tab w:val="right" w:leader="dot" w:pos="9720"/>
              </w:tabs>
              <w:autoSpaceDE w:val="0"/>
              <w:autoSpaceDN w:val="0"/>
              <w:adjustRightInd w:val="0"/>
              <w:ind w:right="201"/>
              <w:rPr>
                <w:rFonts w:ascii="Times New Roman" w:hAnsi="Times New Roman" w:cs="Times New Roman"/>
                <w:b/>
              </w:rPr>
            </w:pPr>
            <w:r w:rsidRPr="007713C1">
              <w:rPr>
                <w:rFonts w:ascii="Times New Roman" w:hAnsi="Times New Roman" w:cs="Times New Roman"/>
                <w:b/>
              </w:rPr>
              <w:t xml:space="preserve">Административен договор </w:t>
            </w:r>
          </w:p>
        </w:tc>
        <w:tc>
          <w:tcPr>
            <w:tcW w:w="6296" w:type="dxa"/>
            <w:shd w:val="clear" w:color="auto" w:fill="auto"/>
          </w:tcPr>
          <w:p w14:paraId="0546AB6B" w14:textId="77777777" w:rsidR="003E6A13" w:rsidRPr="007713C1" w:rsidRDefault="007F5391" w:rsidP="007F5391">
            <w:pPr>
              <w:shd w:val="clear" w:color="auto" w:fill="FFFFFF"/>
              <w:tabs>
                <w:tab w:val="right" w:leader="dot" w:pos="9720"/>
              </w:tabs>
              <w:ind w:right="201"/>
              <w:jc w:val="both"/>
              <w:rPr>
                <w:rFonts w:ascii="Times New Roman" w:hAnsi="Times New Roman" w:cs="Times New Roman"/>
              </w:rPr>
            </w:pPr>
            <w:r w:rsidRPr="007713C1">
              <w:rPr>
                <w:rFonts w:ascii="Times New Roman" w:hAnsi="Times New Roman" w:cs="Times New Roman"/>
              </w:rPr>
              <w:t>Изрично волеизявление на ръководителя на управляващия орган за предоставяне на финансо</w:t>
            </w:r>
            <w:r w:rsidR="00DF496D">
              <w:rPr>
                <w:rFonts w:ascii="Times New Roman" w:hAnsi="Times New Roman" w:cs="Times New Roman"/>
              </w:rPr>
              <w:t>ва подкрепа със средства от ЕЗФРСР</w:t>
            </w:r>
            <w:r w:rsidRPr="007713C1">
              <w:rPr>
                <w:rFonts w:ascii="Times New Roman" w:hAnsi="Times New Roman" w:cs="Times New Roman"/>
              </w:rPr>
              <w:t>, по силата на което и със съгласието на бенефициента се създават за него права и задължения по изпълнението на одобрения проект. Той се оформя в писмено споразумение между ръководителя на управляващия орган</w:t>
            </w:r>
            <w:r w:rsidR="00797688">
              <w:rPr>
                <w:rFonts w:ascii="Times New Roman" w:hAnsi="Times New Roman" w:cs="Times New Roman"/>
              </w:rPr>
              <w:t>,</w:t>
            </w:r>
            <w:r w:rsidRPr="007713C1">
              <w:rPr>
                <w:rFonts w:ascii="Times New Roman" w:hAnsi="Times New Roman" w:cs="Times New Roman"/>
              </w:rPr>
              <w:t xml:space="preserve"> бенефициента, </w:t>
            </w:r>
            <w:r w:rsidR="00797688">
              <w:rPr>
                <w:rFonts w:ascii="Times New Roman" w:hAnsi="Times New Roman" w:cs="Times New Roman"/>
              </w:rPr>
              <w:t xml:space="preserve">и МИГ/МИРГ като трета страна, </w:t>
            </w:r>
            <w:r w:rsidRPr="007713C1">
              <w:rPr>
                <w:rFonts w:ascii="Times New Roman" w:hAnsi="Times New Roman" w:cs="Times New Roman"/>
              </w:rPr>
              <w:t>заместващо издаването на административен акт.</w:t>
            </w:r>
          </w:p>
        </w:tc>
      </w:tr>
      <w:tr w:rsidR="007F5391" w:rsidRPr="007713C1" w14:paraId="3BEDF93E" w14:textId="77777777" w:rsidTr="007F5391">
        <w:tc>
          <w:tcPr>
            <w:tcW w:w="3130" w:type="dxa"/>
            <w:shd w:val="clear" w:color="auto" w:fill="auto"/>
          </w:tcPr>
          <w:p w14:paraId="1F64290A" w14:textId="77777777" w:rsidR="007F5391" w:rsidRPr="007713C1" w:rsidRDefault="007F5391" w:rsidP="007F5391">
            <w:pPr>
              <w:shd w:val="clear" w:color="auto" w:fill="FFFFFF"/>
              <w:tabs>
                <w:tab w:val="right" w:leader="dot" w:pos="9720"/>
              </w:tabs>
              <w:ind w:right="201"/>
              <w:rPr>
                <w:rFonts w:ascii="Times New Roman" w:hAnsi="Times New Roman" w:cs="Times New Roman"/>
                <w:b/>
              </w:rPr>
            </w:pPr>
            <w:r w:rsidRPr="007713C1">
              <w:rPr>
                <w:rFonts w:ascii="Times New Roman" w:hAnsi="Times New Roman" w:cs="Times New Roman"/>
                <w:b/>
              </w:rPr>
              <w:t>Ръководител на управляващия орган</w:t>
            </w:r>
          </w:p>
        </w:tc>
        <w:tc>
          <w:tcPr>
            <w:tcW w:w="6296" w:type="dxa"/>
            <w:shd w:val="clear" w:color="auto" w:fill="auto"/>
          </w:tcPr>
          <w:p w14:paraId="608726F2" w14:textId="77777777" w:rsidR="007F5391" w:rsidRPr="007713C1" w:rsidRDefault="007F5391" w:rsidP="007F5391">
            <w:pPr>
              <w:shd w:val="clear" w:color="auto" w:fill="FFFFFF"/>
              <w:tabs>
                <w:tab w:val="right" w:leader="dot" w:pos="9720"/>
              </w:tabs>
              <w:autoSpaceDE w:val="0"/>
              <w:autoSpaceDN w:val="0"/>
              <w:adjustRightInd w:val="0"/>
              <w:ind w:right="201"/>
              <w:jc w:val="both"/>
              <w:rPr>
                <w:rFonts w:ascii="Times New Roman" w:hAnsi="Times New Roman" w:cs="Times New Roman"/>
              </w:rPr>
            </w:pPr>
            <w:r w:rsidRPr="007713C1">
              <w:rPr>
                <w:rFonts w:ascii="Times New Roman" w:hAnsi="Times New Roman" w:cs="Times New Roman"/>
              </w:rPr>
              <w:t>Ръководителят на администрацията, изпълняваща функциите на управляващ орган на съответната програма или част от която е управляващият орган на съответната програма, или оправомощено от него лице.</w:t>
            </w:r>
          </w:p>
        </w:tc>
      </w:tr>
      <w:tr w:rsidR="007F5391" w:rsidRPr="007713C1" w14:paraId="0FBD02DF" w14:textId="77777777" w:rsidTr="007F5391">
        <w:tc>
          <w:tcPr>
            <w:tcW w:w="3130" w:type="dxa"/>
            <w:shd w:val="clear" w:color="auto" w:fill="auto"/>
          </w:tcPr>
          <w:p w14:paraId="337F8582" w14:textId="77777777" w:rsidR="007F5391" w:rsidRPr="007713C1" w:rsidRDefault="007F5391" w:rsidP="007F5391">
            <w:pPr>
              <w:shd w:val="clear" w:color="auto" w:fill="FFFFFF"/>
              <w:tabs>
                <w:tab w:val="right" w:leader="dot" w:pos="9720"/>
              </w:tabs>
              <w:ind w:right="201"/>
              <w:rPr>
                <w:rFonts w:ascii="Times New Roman" w:hAnsi="Times New Roman" w:cs="Times New Roman"/>
                <w:b/>
              </w:rPr>
            </w:pPr>
            <w:r w:rsidRPr="007713C1">
              <w:rPr>
                <w:rFonts w:ascii="Times New Roman" w:hAnsi="Times New Roman" w:cs="Times New Roman"/>
                <w:b/>
              </w:rPr>
              <w:t>Нередност</w:t>
            </w:r>
          </w:p>
        </w:tc>
        <w:tc>
          <w:tcPr>
            <w:tcW w:w="6296" w:type="dxa"/>
            <w:shd w:val="clear" w:color="auto" w:fill="auto"/>
          </w:tcPr>
          <w:p w14:paraId="3E3198BB" w14:textId="77777777" w:rsidR="007F5391" w:rsidRPr="007713C1" w:rsidRDefault="007F5391" w:rsidP="007F5391">
            <w:pPr>
              <w:pStyle w:val="CM4"/>
              <w:ind w:right="140"/>
              <w:jc w:val="both"/>
              <w:rPr>
                <w:rFonts w:ascii="Times New Roman" w:hAnsi="Times New Roman"/>
                <w:sz w:val="22"/>
                <w:szCs w:val="22"/>
              </w:rPr>
            </w:pPr>
            <w:r w:rsidRPr="007713C1">
              <w:rPr>
                <w:rFonts w:ascii="Times New Roman" w:hAnsi="Times New Roman"/>
                <w:sz w:val="22"/>
                <w:szCs w:val="22"/>
              </w:rPr>
              <w:t xml:space="preserve">Всяко нарушение на правото на Съюза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w:t>
            </w:r>
            <w:r w:rsidRPr="007713C1">
              <w:rPr>
                <w:rFonts w:ascii="Times New Roman" w:hAnsi="Times New Roman"/>
                <w:sz w:val="22"/>
                <w:szCs w:val="22"/>
              </w:rPr>
              <w:lastRenderedPageBreak/>
              <w:t xml:space="preserve">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 </w:t>
            </w:r>
          </w:p>
        </w:tc>
      </w:tr>
      <w:tr w:rsidR="007F5391" w:rsidRPr="007713C1" w14:paraId="2777F9E6" w14:textId="77777777" w:rsidTr="007F5391">
        <w:tc>
          <w:tcPr>
            <w:tcW w:w="3130" w:type="dxa"/>
            <w:shd w:val="clear" w:color="auto" w:fill="auto"/>
          </w:tcPr>
          <w:p w14:paraId="6123DCAF" w14:textId="77777777" w:rsidR="007F5391" w:rsidRPr="00F31C31" w:rsidRDefault="007F5391" w:rsidP="007F5391">
            <w:pPr>
              <w:shd w:val="clear" w:color="auto" w:fill="FFFFFF"/>
              <w:tabs>
                <w:tab w:val="right" w:leader="dot" w:pos="9720"/>
              </w:tabs>
              <w:ind w:right="201"/>
              <w:rPr>
                <w:rFonts w:ascii="Times New Roman" w:hAnsi="Times New Roman" w:cs="Times New Roman"/>
                <w:b/>
              </w:rPr>
            </w:pPr>
            <w:r w:rsidRPr="00F31C31">
              <w:rPr>
                <w:rFonts w:ascii="Times New Roman" w:hAnsi="Times New Roman" w:cs="Times New Roman"/>
                <w:b/>
              </w:rPr>
              <w:lastRenderedPageBreak/>
              <w:t>Държавна помощ</w:t>
            </w:r>
          </w:p>
        </w:tc>
        <w:tc>
          <w:tcPr>
            <w:tcW w:w="6296" w:type="dxa"/>
            <w:shd w:val="clear" w:color="auto" w:fill="auto"/>
          </w:tcPr>
          <w:p w14:paraId="37D5FDD7" w14:textId="77777777" w:rsidR="007F5391" w:rsidRPr="00F31C31" w:rsidRDefault="007F5391" w:rsidP="007F5391">
            <w:pPr>
              <w:shd w:val="clear" w:color="auto" w:fill="FFFFFF"/>
              <w:tabs>
                <w:tab w:val="right" w:leader="dot" w:pos="9720"/>
              </w:tabs>
              <w:autoSpaceDE w:val="0"/>
              <w:autoSpaceDN w:val="0"/>
              <w:adjustRightInd w:val="0"/>
              <w:ind w:right="201"/>
              <w:jc w:val="both"/>
              <w:rPr>
                <w:rFonts w:ascii="Times New Roman" w:hAnsi="Times New Roman" w:cs="Times New Roman"/>
              </w:rPr>
            </w:pPr>
            <w:r w:rsidRPr="00F31C31">
              <w:rPr>
                <w:rFonts w:ascii="Times New Roman" w:hAnsi="Times New Roman" w:cs="Times New Roman"/>
              </w:rPr>
              <w:t>Всяка помощ, предоставена от държавата или общината или за сметка на държавни или общински ресурси, пряко или чрез други лица, под каквато и да е форма, която нарушава или застрашава да наруши свободната конкуренция чрез поставяне в по-благоприятно положение на определени предприятия, производството или търговията на определени стоки, или предоставянето на определени услуги, доколкото се засяга търговията между държавите членки.</w:t>
            </w:r>
          </w:p>
        </w:tc>
      </w:tr>
      <w:tr w:rsidR="007F5391" w:rsidRPr="007713C1" w14:paraId="56DBCF7D" w14:textId="77777777" w:rsidTr="007F5391">
        <w:tc>
          <w:tcPr>
            <w:tcW w:w="3130" w:type="dxa"/>
            <w:shd w:val="clear" w:color="auto" w:fill="auto"/>
          </w:tcPr>
          <w:p w14:paraId="40BAA966" w14:textId="77777777" w:rsidR="007F5391" w:rsidRPr="00F31C31" w:rsidRDefault="007F5391" w:rsidP="007F5391">
            <w:pPr>
              <w:shd w:val="clear" w:color="auto" w:fill="FFFFFF"/>
              <w:tabs>
                <w:tab w:val="right" w:leader="dot" w:pos="9720"/>
              </w:tabs>
              <w:ind w:right="201"/>
              <w:rPr>
                <w:rFonts w:ascii="Times New Roman" w:hAnsi="Times New Roman" w:cs="Times New Roman"/>
                <w:b/>
              </w:rPr>
            </w:pPr>
            <w:r w:rsidRPr="00F31C31">
              <w:rPr>
                <w:rFonts w:ascii="Times New Roman" w:hAnsi="Times New Roman" w:cs="Times New Roman"/>
                <w:b/>
              </w:rPr>
              <w:t>Минимална помощ (de minimis)</w:t>
            </w:r>
          </w:p>
        </w:tc>
        <w:tc>
          <w:tcPr>
            <w:tcW w:w="6296" w:type="dxa"/>
            <w:shd w:val="clear" w:color="auto" w:fill="auto"/>
          </w:tcPr>
          <w:p w14:paraId="54017469" w14:textId="77777777" w:rsidR="007F5391" w:rsidRPr="00F31C31" w:rsidRDefault="007F5391" w:rsidP="007F5391">
            <w:pPr>
              <w:shd w:val="clear" w:color="auto" w:fill="FFFFFF"/>
              <w:tabs>
                <w:tab w:val="right" w:leader="dot" w:pos="9720"/>
              </w:tabs>
              <w:autoSpaceDE w:val="0"/>
              <w:autoSpaceDN w:val="0"/>
              <w:adjustRightInd w:val="0"/>
              <w:ind w:right="201"/>
              <w:jc w:val="both"/>
              <w:rPr>
                <w:rFonts w:ascii="Times New Roman" w:hAnsi="Times New Roman" w:cs="Times New Roman"/>
              </w:rPr>
            </w:pPr>
            <w:r w:rsidRPr="00F31C31">
              <w:rPr>
                <w:rFonts w:ascii="Times New Roman" w:hAnsi="Times New Roman" w:cs="Times New Roman"/>
              </w:rPr>
              <w:t>Помощта, която не нарушава и не застрашава конкуренцията или има незначително въздействие върху нея поради своя минимален размер, както е дефинирана в действащия регламент на ЕС, относно прилагането на чл. 107 и 108 от Договора за функционирането на ЕС по отношение на минималната помощ.</w:t>
            </w:r>
          </w:p>
        </w:tc>
      </w:tr>
      <w:tr w:rsidR="00BE63F6" w:rsidRPr="007713C1" w14:paraId="7F06A7B6" w14:textId="77777777" w:rsidTr="007F5391">
        <w:tc>
          <w:tcPr>
            <w:tcW w:w="3130" w:type="dxa"/>
            <w:shd w:val="clear" w:color="auto" w:fill="auto"/>
          </w:tcPr>
          <w:p w14:paraId="49B3C51A" w14:textId="77777777" w:rsidR="00BE63F6" w:rsidRPr="00F31C31" w:rsidRDefault="00BE63F6" w:rsidP="007F5391">
            <w:pPr>
              <w:shd w:val="clear" w:color="auto" w:fill="FFFFFF"/>
              <w:tabs>
                <w:tab w:val="right" w:leader="dot" w:pos="9720"/>
              </w:tabs>
              <w:ind w:right="201"/>
              <w:rPr>
                <w:rFonts w:ascii="Times New Roman" w:hAnsi="Times New Roman" w:cs="Times New Roman"/>
                <w:b/>
              </w:rPr>
            </w:pPr>
            <w:r w:rsidRPr="00BE63F6">
              <w:rPr>
                <w:rFonts w:ascii="Times New Roman" w:hAnsi="Times New Roman" w:cs="Times New Roman"/>
                <w:b/>
              </w:rPr>
              <w:t>"Изкуствено създадени условия"</w:t>
            </w:r>
          </w:p>
        </w:tc>
        <w:tc>
          <w:tcPr>
            <w:tcW w:w="6296" w:type="dxa"/>
            <w:shd w:val="clear" w:color="auto" w:fill="auto"/>
          </w:tcPr>
          <w:p w14:paraId="109D565B" w14:textId="77777777" w:rsidR="00BE63F6" w:rsidRPr="00F31C31" w:rsidRDefault="00BE63F6" w:rsidP="007F5391">
            <w:pPr>
              <w:shd w:val="clear" w:color="auto" w:fill="FFFFFF"/>
              <w:tabs>
                <w:tab w:val="right" w:leader="dot" w:pos="9720"/>
              </w:tabs>
              <w:autoSpaceDE w:val="0"/>
              <w:autoSpaceDN w:val="0"/>
              <w:adjustRightInd w:val="0"/>
              <w:ind w:right="201"/>
              <w:jc w:val="both"/>
              <w:rPr>
                <w:rFonts w:ascii="Times New Roman" w:hAnsi="Times New Roman" w:cs="Times New Roman"/>
              </w:rPr>
            </w:pPr>
            <w:r>
              <w:rPr>
                <w:rFonts w:ascii="Times New Roman" w:hAnsi="Times New Roman" w:cs="Times New Roman"/>
              </w:rPr>
              <w:t>И</w:t>
            </w:r>
            <w:r w:rsidRPr="00BE63F6">
              <w:rPr>
                <w:rFonts w:ascii="Times New Roman" w:hAnsi="Times New Roman" w:cs="Times New Roman"/>
              </w:rPr>
              <w:t>нвестиции, за които е установена функционална несамостоятелност и/или изкуствено създадени условия за получаване на помощта с цел осъществяване на предимство в противоречие с целите на мярката</w:t>
            </w:r>
            <w:r>
              <w:rPr>
                <w:rFonts w:ascii="Times New Roman" w:hAnsi="Times New Roman" w:cs="Times New Roman"/>
              </w:rPr>
              <w:t>.</w:t>
            </w:r>
          </w:p>
        </w:tc>
      </w:tr>
      <w:tr w:rsidR="00BE63F6" w:rsidRPr="007713C1" w14:paraId="1A9A1DEE" w14:textId="77777777" w:rsidTr="007F5391">
        <w:tc>
          <w:tcPr>
            <w:tcW w:w="3130" w:type="dxa"/>
            <w:shd w:val="clear" w:color="auto" w:fill="auto"/>
          </w:tcPr>
          <w:p w14:paraId="3D5CFC56" w14:textId="77777777" w:rsidR="00BE63F6" w:rsidRPr="00F31C31" w:rsidRDefault="00BE63F6" w:rsidP="007F5391">
            <w:pPr>
              <w:shd w:val="clear" w:color="auto" w:fill="FFFFFF"/>
              <w:tabs>
                <w:tab w:val="right" w:leader="dot" w:pos="9720"/>
              </w:tabs>
              <w:ind w:right="201"/>
              <w:rPr>
                <w:rFonts w:ascii="Times New Roman" w:hAnsi="Times New Roman" w:cs="Times New Roman"/>
                <w:b/>
              </w:rPr>
            </w:pPr>
            <w:r w:rsidRPr="00BE63F6">
              <w:rPr>
                <w:rFonts w:ascii="Times New Roman" w:hAnsi="Times New Roman" w:cs="Times New Roman"/>
                <w:b/>
              </w:rPr>
              <w:t>"Функционална несамостоятелност</w:t>
            </w:r>
            <w:r>
              <w:rPr>
                <w:rFonts w:ascii="Times New Roman" w:hAnsi="Times New Roman" w:cs="Times New Roman"/>
                <w:b/>
              </w:rPr>
              <w:t>“</w:t>
            </w:r>
          </w:p>
        </w:tc>
        <w:tc>
          <w:tcPr>
            <w:tcW w:w="6296" w:type="dxa"/>
            <w:shd w:val="clear" w:color="auto" w:fill="auto"/>
          </w:tcPr>
          <w:p w14:paraId="3349359A" w14:textId="77777777" w:rsidR="00BE63F6" w:rsidRPr="00F31C31" w:rsidRDefault="00BE63F6" w:rsidP="007F5391">
            <w:pPr>
              <w:shd w:val="clear" w:color="auto" w:fill="FFFFFF"/>
              <w:tabs>
                <w:tab w:val="right" w:leader="dot" w:pos="9720"/>
              </w:tabs>
              <w:autoSpaceDE w:val="0"/>
              <w:autoSpaceDN w:val="0"/>
              <w:adjustRightInd w:val="0"/>
              <w:ind w:right="201"/>
              <w:jc w:val="both"/>
              <w:rPr>
                <w:rFonts w:ascii="Times New Roman" w:hAnsi="Times New Roman" w:cs="Times New Roman"/>
              </w:rPr>
            </w:pPr>
            <w:r>
              <w:rPr>
                <w:rFonts w:ascii="Times New Roman" w:hAnsi="Times New Roman" w:cs="Times New Roman"/>
              </w:rPr>
              <w:t>И</w:t>
            </w:r>
            <w:r w:rsidRPr="00BE63F6">
              <w:rPr>
                <w:rFonts w:ascii="Times New Roman" w:hAnsi="Times New Roman" w:cs="Times New Roman"/>
              </w:rPr>
              <w:t>зкуствено разделяне на производствените и технологичните процеси в различни проекти с цел усвояване на средства над максималния размер на общо допустимите разходи по мярката.</w:t>
            </w:r>
          </w:p>
        </w:tc>
      </w:tr>
    </w:tbl>
    <w:p w14:paraId="257AE3CB" w14:textId="77777777" w:rsidR="007F5391" w:rsidRPr="007713C1" w:rsidRDefault="007F5391" w:rsidP="006318F6">
      <w:pPr>
        <w:spacing w:before="240"/>
        <w:rPr>
          <w:rFonts w:ascii="Times New Roman" w:hAnsi="Times New Roman" w:cs="Times New Roman"/>
          <w:b/>
          <w:noProof/>
        </w:rPr>
      </w:pPr>
      <w:r w:rsidRPr="007713C1">
        <w:rPr>
          <w:rFonts w:ascii="Times New Roman" w:hAnsi="Times New Roman" w:cs="Times New Roman"/>
          <w:b/>
          <w:noProof/>
        </w:rPr>
        <w:t>СПИСЪК НА СЪКРАЩЕНИЯТА</w:t>
      </w:r>
    </w:p>
    <w:tbl>
      <w:tblPr>
        <w:tblW w:w="94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237"/>
      </w:tblGrid>
      <w:tr w:rsidR="007F5391" w:rsidRPr="007713C1" w14:paraId="234A15D9" w14:textId="77777777" w:rsidTr="007F5391">
        <w:tc>
          <w:tcPr>
            <w:tcW w:w="3189" w:type="dxa"/>
            <w:shd w:val="clear" w:color="auto" w:fill="auto"/>
            <w:vAlign w:val="center"/>
          </w:tcPr>
          <w:p w14:paraId="76819C4A" w14:textId="77777777" w:rsidR="007F5391" w:rsidRPr="007713C1" w:rsidRDefault="007F5391" w:rsidP="007F5391">
            <w:pPr>
              <w:tabs>
                <w:tab w:val="right" w:leader="dot" w:pos="9720"/>
              </w:tabs>
              <w:spacing w:line="360" w:lineRule="auto"/>
              <w:ind w:right="201"/>
              <w:rPr>
                <w:rFonts w:ascii="Times New Roman" w:hAnsi="Times New Roman" w:cs="Times New Roman"/>
                <w:b/>
                <w:noProof/>
              </w:rPr>
            </w:pPr>
            <w:r w:rsidRPr="007713C1">
              <w:rPr>
                <w:rFonts w:ascii="Times New Roman" w:hAnsi="Times New Roman" w:cs="Times New Roman"/>
                <w:b/>
                <w:noProof/>
              </w:rPr>
              <w:t>БФП</w:t>
            </w:r>
          </w:p>
        </w:tc>
        <w:tc>
          <w:tcPr>
            <w:tcW w:w="6237" w:type="dxa"/>
            <w:shd w:val="clear" w:color="auto" w:fill="auto"/>
            <w:vAlign w:val="center"/>
          </w:tcPr>
          <w:p w14:paraId="6555AFE7" w14:textId="77777777" w:rsidR="007F5391" w:rsidRPr="007713C1" w:rsidRDefault="007F5391" w:rsidP="007F5391">
            <w:pPr>
              <w:tabs>
                <w:tab w:val="right" w:leader="dot" w:pos="9720"/>
              </w:tabs>
              <w:spacing w:line="360" w:lineRule="auto"/>
              <w:ind w:right="201"/>
              <w:rPr>
                <w:rFonts w:ascii="Times New Roman" w:hAnsi="Times New Roman" w:cs="Times New Roman"/>
                <w:noProof/>
              </w:rPr>
            </w:pPr>
            <w:r w:rsidRPr="007713C1">
              <w:rPr>
                <w:rFonts w:ascii="Times New Roman" w:hAnsi="Times New Roman" w:cs="Times New Roman"/>
                <w:noProof/>
              </w:rPr>
              <w:t>Безвъзмездна финансова помощ</w:t>
            </w:r>
          </w:p>
        </w:tc>
      </w:tr>
      <w:tr w:rsidR="00170A94" w:rsidRPr="007713C1" w14:paraId="3D0B5F79" w14:textId="77777777" w:rsidTr="006318F6">
        <w:trPr>
          <w:trHeight w:val="702"/>
        </w:trPr>
        <w:tc>
          <w:tcPr>
            <w:tcW w:w="3189" w:type="dxa"/>
            <w:shd w:val="clear" w:color="auto" w:fill="auto"/>
            <w:vAlign w:val="center"/>
          </w:tcPr>
          <w:p w14:paraId="6C34F301" w14:textId="77777777" w:rsidR="00170A94" w:rsidRPr="007713C1" w:rsidRDefault="006318F6" w:rsidP="007F5391">
            <w:pPr>
              <w:tabs>
                <w:tab w:val="right" w:leader="dot" w:pos="9720"/>
              </w:tabs>
              <w:spacing w:line="360" w:lineRule="auto"/>
              <w:ind w:right="201"/>
              <w:rPr>
                <w:rFonts w:ascii="Times New Roman" w:hAnsi="Times New Roman" w:cs="Times New Roman"/>
                <w:b/>
                <w:noProof/>
              </w:rPr>
            </w:pPr>
            <w:r>
              <w:rPr>
                <w:rFonts w:ascii="Times New Roman" w:hAnsi="Times New Roman" w:cs="Times New Roman"/>
                <w:b/>
                <w:noProof/>
              </w:rPr>
              <w:t>С</w:t>
            </w:r>
            <w:r w:rsidR="00170A94">
              <w:rPr>
                <w:rFonts w:ascii="Times New Roman" w:hAnsi="Times New Roman" w:cs="Times New Roman"/>
                <w:b/>
                <w:noProof/>
              </w:rPr>
              <w:t>ВОМР</w:t>
            </w:r>
          </w:p>
        </w:tc>
        <w:tc>
          <w:tcPr>
            <w:tcW w:w="6237" w:type="dxa"/>
            <w:shd w:val="clear" w:color="auto" w:fill="auto"/>
            <w:vAlign w:val="center"/>
          </w:tcPr>
          <w:p w14:paraId="465B7103" w14:textId="77777777" w:rsidR="00170A94" w:rsidRPr="007713C1" w:rsidRDefault="006318F6" w:rsidP="006318F6">
            <w:pPr>
              <w:tabs>
                <w:tab w:val="right" w:leader="dot" w:pos="9720"/>
              </w:tabs>
              <w:spacing w:line="240" w:lineRule="auto"/>
              <w:ind w:right="201"/>
              <w:rPr>
                <w:rFonts w:ascii="Times New Roman" w:hAnsi="Times New Roman" w:cs="Times New Roman"/>
                <w:noProof/>
              </w:rPr>
            </w:pPr>
            <w:r>
              <w:rPr>
                <w:rFonts w:ascii="Times New Roman" w:hAnsi="Times New Roman" w:cs="Times New Roman"/>
              </w:rPr>
              <w:t>Стратегия за изпълнение на водено от общностите местно развитие</w:t>
            </w:r>
          </w:p>
        </w:tc>
      </w:tr>
      <w:tr w:rsidR="007F5391" w:rsidRPr="007713C1" w14:paraId="20E11C55" w14:textId="77777777" w:rsidTr="007F5391">
        <w:trPr>
          <w:trHeight w:val="425"/>
        </w:trPr>
        <w:tc>
          <w:tcPr>
            <w:tcW w:w="3189" w:type="dxa"/>
            <w:shd w:val="clear" w:color="auto" w:fill="auto"/>
            <w:vAlign w:val="center"/>
          </w:tcPr>
          <w:p w14:paraId="785A878F" w14:textId="77777777" w:rsidR="007F5391" w:rsidRPr="007713C1" w:rsidRDefault="007F5391" w:rsidP="007F5391">
            <w:pPr>
              <w:tabs>
                <w:tab w:val="right" w:leader="dot" w:pos="9720"/>
              </w:tabs>
              <w:spacing w:line="360" w:lineRule="auto"/>
              <w:ind w:right="201"/>
              <w:rPr>
                <w:rFonts w:ascii="Times New Roman" w:hAnsi="Times New Roman" w:cs="Times New Roman"/>
                <w:b/>
                <w:noProof/>
              </w:rPr>
            </w:pPr>
            <w:r w:rsidRPr="007713C1">
              <w:rPr>
                <w:rFonts w:ascii="Times New Roman" w:hAnsi="Times New Roman" w:cs="Times New Roman"/>
                <w:b/>
                <w:noProof/>
              </w:rPr>
              <w:t>ЕС</w:t>
            </w:r>
          </w:p>
        </w:tc>
        <w:tc>
          <w:tcPr>
            <w:tcW w:w="6237" w:type="dxa"/>
            <w:shd w:val="clear" w:color="auto" w:fill="auto"/>
            <w:vAlign w:val="center"/>
          </w:tcPr>
          <w:p w14:paraId="440F7AA6" w14:textId="77777777" w:rsidR="007F5391" w:rsidRPr="007713C1" w:rsidRDefault="007F5391" w:rsidP="007F5391">
            <w:pPr>
              <w:tabs>
                <w:tab w:val="right" w:leader="dot" w:pos="9720"/>
              </w:tabs>
              <w:spacing w:line="360" w:lineRule="auto"/>
              <w:ind w:right="201"/>
              <w:rPr>
                <w:rFonts w:ascii="Times New Roman" w:hAnsi="Times New Roman" w:cs="Times New Roman"/>
                <w:noProof/>
              </w:rPr>
            </w:pPr>
            <w:r w:rsidRPr="007713C1">
              <w:rPr>
                <w:rFonts w:ascii="Times New Roman" w:hAnsi="Times New Roman" w:cs="Times New Roman"/>
                <w:noProof/>
              </w:rPr>
              <w:t>Европейски съюз</w:t>
            </w:r>
          </w:p>
        </w:tc>
      </w:tr>
      <w:tr w:rsidR="007F5391" w:rsidRPr="007713C1" w14:paraId="52F20C32" w14:textId="77777777" w:rsidTr="007F5391">
        <w:trPr>
          <w:trHeight w:val="575"/>
        </w:trPr>
        <w:tc>
          <w:tcPr>
            <w:tcW w:w="3189" w:type="dxa"/>
            <w:shd w:val="clear" w:color="auto" w:fill="auto"/>
            <w:vAlign w:val="center"/>
          </w:tcPr>
          <w:p w14:paraId="77089D2D" w14:textId="77777777" w:rsidR="007F5391" w:rsidRPr="007713C1" w:rsidRDefault="007F5391" w:rsidP="007F5391">
            <w:pPr>
              <w:tabs>
                <w:tab w:val="right" w:leader="dot" w:pos="9720"/>
              </w:tabs>
              <w:spacing w:line="360" w:lineRule="auto"/>
              <w:ind w:right="201"/>
              <w:rPr>
                <w:rFonts w:ascii="Times New Roman" w:hAnsi="Times New Roman" w:cs="Times New Roman"/>
                <w:b/>
              </w:rPr>
            </w:pPr>
            <w:r w:rsidRPr="007713C1">
              <w:rPr>
                <w:rFonts w:ascii="Times New Roman" w:hAnsi="Times New Roman" w:cs="Times New Roman"/>
                <w:b/>
              </w:rPr>
              <w:t>ЗУСЕСИФ</w:t>
            </w:r>
          </w:p>
        </w:tc>
        <w:tc>
          <w:tcPr>
            <w:tcW w:w="6237" w:type="dxa"/>
            <w:shd w:val="clear" w:color="auto" w:fill="auto"/>
            <w:vAlign w:val="center"/>
          </w:tcPr>
          <w:p w14:paraId="2082BF4F" w14:textId="77777777" w:rsidR="007F5391" w:rsidRPr="007713C1" w:rsidRDefault="007F5391" w:rsidP="007F5391">
            <w:pPr>
              <w:tabs>
                <w:tab w:val="right" w:leader="dot" w:pos="9720"/>
              </w:tabs>
              <w:ind w:right="198"/>
              <w:rPr>
                <w:rFonts w:ascii="Times New Roman" w:hAnsi="Times New Roman" w:cs="Times New Roman"/>
              </w:rPr>
            </w:pPr>
            <w:r w:rsidRPr="007713C1">
              <w:rPr>
                <w:rFonts w:ascii="Times New Roman" w:hAnsi="Times New Roman" w:cs="Times New Roman"/>
              </w:rPr>
              <w:t>Закон за управление на средствата от Eвропейските структурни и инвестиционни фондове, обн., ДВ, бр. 101 от 22.12.2015 г</w:t>
            </w:r>
          </w:p>
        </w:tc>
      </w:tr>
      <w:tr w:rsidR="007F5391" w:rsidRPr="007713C1" w14:paraId="63B2B96C" w14:textId="77777777" w:rsidTr="007F5391">
        <w:tc>
          <w:tcPr>
            <w:tcW w:w="3189" w:type="dxa"/>
            <w:shd w:val="clear" w:color="auto" w:fill="auto"/>
            <w:vAlign w:val="center"/>
          </w:tcPr>
          <w:p w14:paraId="2ACAB37B" w14:textId="77777777" w:rsidR="007F5391" w:rsidRPr="007713C1" w:rsidRDefault="007F5391" w:rsidP="007F5391">
            <w:pPr>
              <w:tabs>
                <w:tab w:val="right" w:leader="dot" w:pos="9720"/>
              </w:tabs>
              <w:spacing w:line="360" w:lineRule="auto"/>
              <w:ind w:right="201"/>
              <w:rPr>
                <w:rFonts w:ascii="Times New Roman" w:hAnsi="Times New Roman" w:cs="Times New Roman"/>
                <w:b/>
              </w:rPr>
            </w:pPr>
            <w:r w:rsidRPr="007713C1">
              <w:rPr>
                <w:rFonts w:ascii="Times New Roman" w:hAnsi="Times New Roman" w:cs="Times New Roman"/>
                <w:b/>
              </w:rPr>
              <w:t>ИСУН 2020</w:t>
            </w:r>
          </w:p>
        </w:tc>
        <w:tc>
          <w:tcPr>
            <w:tcW w:w="6237" w:type="dxa"/>
            <w:shd w:val="clear" w:color="auto" w:fill="auto"/>
            <w:vAlign w:val="center"/>
          </w:tcPr>
          <w:p w14:paraId="3D543CF1" w14:textId="77777777" w:rsidR="007F5391" w:rsidRPr="007713C1" w:rsidRDefault="007F5391" w:rsidP="007F5391">
            <w:pPr>
              <w:tabs>
                <w:tab w:val="right" w:leader="dot" w:pos="9720"/>
              </w:tabs>
              <w:ind w:right="198"/>
              <w:rPr>
                <w:rFonts w:ascii="Times New Roman" w:hAnsi="Times New Roman" w:cs="Times New Roman"/>
              </w:rPr>
            </w:pPr>
            <w:r w:rsidRPr="007713C1">
              <w:rPr>
                <w:rFonts w:ascii="Times New Roman" w:hAnsi="Times New Roman" w:cs="Times New Roman"/>
              </w:rPr>
              <w:t xml:space="preserve">Информационната система за управление и наблюдение на Структурните инструменти на ЕС в България </w:t>
            </w:r>
          </w:p>
        </w:tc>
      </w:tr>
      <w:tr w:rsidR="007F5391" w:rsidRPr="007713C1" w14:paraId="76178195" w14:textId="77777777" w:rsidTr="007F5391">
        <w:tc>
          <w:tcPr>
            <w:tcW w:w="3189" w:type="dxa"/>
            <w:shd w:val="clear" w:color="auto" w:fill="auto"/>
            <w:vAlign w:val="center"/>
          </w:tcPr>
          <w:p w14:paraId="5A805633" w14:textId="77777777" w:rsidR="007F5391" w:rsidRPr="007713C1" w:rsidRDefault="007F5391" w:rsidP="007F5391">
            <w:pPr>
              <w:tabs>
                <w:tab w:val="right" w:leader="dot" w:pos="9720"/>
              </w:tabs>
              <w:spacing w:line="360" w:lineRule="auto"/>
              <w:ind w:right="201"/>
              <w:rPr>
                <w:rFonts w:ascii="Times New Roman" w:hAnsi="Times New Roman" w:cs="Times New Roman"/>
                <w:b/>
              </w:rPr>
            </w:pPr>
            <w:r w:rsidRPr="007713C1">
              <w:rPr>
                <w:rFonts w:ascii="Times New Roman" w:hAnsi="Times New Roman" w:cs="Times New Roman"/>
                <w:b/>
              </w:rPr>
              <w:lastRenderedPageBreak/>
              <w:t>КЕП</w:t>
            </w:r>
          </w:p>
        </w:tc>
        <w:tc>
          <w:tcPr>
            <w:tcW w:w="6237" w:type="dxa"/>
            <w:shd w:val="clear" w:color="auto" w:fill="auto"/>
            <w:vAlign w:val="center"/>
          </w:tcPr>
          <w:p w14:paraId="0877C6EF" w14:textId="77777777" w:rsidR="007F5391" w:rsidRPr="007713C1" w:rsidRDefault="007F5391" w:rsidP="007F5391">
            <w:pPr>
              <w:tabs>
                <w:tab w:val="right" w:leader="dot" w:pos="9720"/>
              </w:tabs>
              <w:ind w:right="198"/>
              <w:rPr>
                <w:rFonts w:ascii="Times New Roman" w:hAnsi="Times New Roman" w:cs="Times New Roman"/>
              </w:rPr>
            </w:pPr>
            <w:r w:rsidRPr="007713C1">
              <w:rPr>
                <w:rFonts w:ascii="Times New Roman" w:hAnsi="Times New Roman" w:cs="Times New Roman"/>
              </w:rPr>
              <w:t>Квалифициран електронен подпис</w:t>
            </w:r>
          </w:p>
        </w:tc>
      </w:tr>
      <w:tr w:rsidR="007F5391" w:rsidRPr="007713C1" w14:paraId="683B4848" w14:textId="77777777" w:rsidTr="007F5391">
        <w:tc>
          <w:tcPr>
            <w:tcW w:w="3189" w:type="dxa"/>
            <w:shd w:val="clear" w:color="auto" w:fill="auto"/>
            <w:vAlign w:val="center"/>
          </w:tcPr>
          <w:p w14:paraId="7ED32B42" w14:textId="77777777" w:rsidR="007F5391" w:rsidRPr="007713C1" w:rsidRDefault="007E75A1" w:rsidP="007F5391">
            <w:pPr>
              <w:tabs>
                <w:tab w:val="right" w:leader="dot" w:pos="9720"/>
              </w:tabs>
              <w:spacing w:line="360" w:lineRule="auto"/>
              <w:ind w:right="201"/>
              <w:rPr>
                <w:rFonts w:ascii="Times New Roman" w:hAnsi="Times New Roman" w:cs="Times New Roman"/>
                <w:b/>
              </w:rPr>
            </w:pPr>
            <w:r>
              <w:rPr>
                <w:rFonts w:ascii="Times New Roman" w:hAnsi="Times New Roman" w:cs="Times New Roman"/>
                <w:b/>
              </w:rPr>
              <w:t>ПРСР</w:t>
            </w:r>
          </w:p>
        </w:tc>
        <w:tc>
          <w:tcPr>
            <w:tcW w:w="6237" w:type="dxa"/>
            <w:shd w:val="clear" w:color="auto" w:fill="auto"/>
            <w:vAlign w:val="center"/>
          </w:tcPr>
          <w:p w14:paraId="062F862E" w14:textId="77777777" w:rsidR="007F5391" w:rsidRPr="007713C1" w:rsidRDefault="007E75A1" w:rsidP="007F5391">
            <w:pPr>
              <w:tabs>
                <w:tab w:val="right" w:leader="dot" w:pos="9720"/>
              </w:tabs>
              <w:ind w:right="198"/>
              <w:rPr>
                <w:rFonts w:ascii="Times New Roman" w:hAnsi="Times New Roman" w:cs="Times New Roman"/>
              </w:rPr>
            </w:pPr>
            <w:r>
              <w:rPr>
                <w:rFonts w:ascii="Times New Roman" w:hAnsi="Times New Roman" w:cs="Times New Roman"/>
              </w:rPr>
              <w:t>Програма за развитие на селските райони</w:t>
            </w:r>
          </w:p>
        </w:tc>
      </w:tr>
      <w:tr w:rsidR="007F5391" w:rsidRPr="007713C1" w14:paraId="2413E038" w14:textId="77777777" w:rsidTr="007F5391">
        <w:tc>
          <w:tcPr>
            <w:tcW w:w="3189" w:type="dxa"/>
            <w:shd w:val="clear" w:color="auto" w:fill="auto"/>
            <w:vAlign w:val="center"/>
          </w:tcPr>
          <w:p w14:paraId="4550ED7D" w14:textId="77777777" w:rsidR="007F5391" w:rsidRPr="007713C1" w:rsidRDefault="007F5391" w:rsidP="007F5391">
            <w:pPr>
              <w:tabs>
                <w:tab w:val="right" w:leader="dot" w:pos="9720"/>
              </w:tabs>
              <w:spacing w:line="360" w:lineRule="auto"/>
              <w:ind w:right="201"/>
              <w:rPr>
                <w:rFonts w:ascii="Times New Roman" w:hAnsi="Times New Roman" w:cs="Times New Roman"/>
                <w:b/>
              </w:rPr>
            </w:pPr>
            <w:r w:rsidRPr="007713C1">
              <w:rPr>
                <w:rFonts w:ascii="Times New Roman" w:hAnsi="Times New Roman" w:cs="Times New Roman"/>
                <w:b/>
              </w:rPr>
              <w:t>ПМС</w:t>
            </w:r>
          </w:p>
        </w:tc>
        <w:tc>
          <w:tcPr>
            <w:tcW w:w="6237" w:type="dxa"/>
            <w:shd w:val="clear" w:color="auto" w:fill="auto"/>
            <w:vAlign w:val="center"/>
          </w:tcPr>
          <w:p w14:paraId="4CB3AD80" w14:textId="77777777" w:rsidR="007F5391" w:rsidRPr="007713C1" w:rsidRDefault="007F5391" w:rsidP="007F5391">
            <w:pPr>
              <w:tabs>
                <w:tab w:val="right" w:leader="dot" w:pos="9720"/>
              </w:tabs>
              <w:ind w:right="198"/>
              <w:rPr>
                <w:rFonts w:ascii="Times New Roman" w:hAnsi="Times New Roman" w:cs="Times New Roman"/>
              </w:rPr>
            </w:pPr>
            <w:r w:rsidRPr="007713C1">
              <w:rPr>
                <w:rFonts w:ascii="Times New Roman" w:hAnsi="Times New Roman" w:cs="Times New Roman"/>
              </w:rPr>
              <w:t>Постановление на Министерски съвет</w:t>
            </w:r>
          </w:p>
        </w:tc>
      </w:tr>
      <w:tr w:rsidR="007F5391" w:rsidRPr="007713C1" w14:paraId="2FD8E742" w14:textId="77777777" w:rsidTr="007F5391">
        <w:tc>
          <w:tcPr>
            <w:tcW w:w="3189" w:type="dxa"/>
            <w:shd w:val="clear" w:color="auto" w:fill="auto"/>
            <w:vAlign w:val="center"/>
          </w:tcPr>
          <w:p w14:paraId="298D7A38" w14:textId="79CC47A3" w:rsidR="007F5391" w:rsidRPr="007713C1" w:rsidRDefault="006E6FB8" w:rsidP="007F5391">
            <w:pPr>
              <w:tabs>
                <w:tab w:val="right" w:leader="dot" w:pos="9720"/>
              </w:tabs>
              <w:spacing w:line="360" w:lineRule="auto"/>
              <w:ind w:right="201"/>
              <w:rPr>
                <w:rFonts w:ascii="Times New Roman" w:hAnsi="Times New Roman" w:cs="Times New Roman"/>
                <w:b/>
              </w:rPr>
            </w:pPr>
            <w:r>
              <w:rPr>
                <w:rFonts w:ascii="Times New Roman" w:hAnsi="Times New Roman" w:cs="Times New Roman"/>
                <w:b/>
              </w:rPr>
              <w:t>ДФЗ</w:t>
            </w:r>
          </w:p>
        </w:tc>
        <w:tc>
          <w:tcPr>
            <w:tcW w:w="6237" w:type="dxa"/>
            <w:shd w:val="clear" w:color="auto" w:fill="auto"/>
            <w:vAlign w:val="center"/>
          </w:tcPr>
          <w:p w14:paraId="339680D3" w14:textId="71DD252A" w:rsidR="007F5391" w:rsidRPr="007713C1" w:rsidRDefault="006E6FB8" w:rsidP="007F5391">
            <w:pPr>
              <w:tabs>
                <w:tab w:val="right" w:leader="dot" w:pos="9720"/>
              </w:tabs>
              <w:ind w:right="198"/>
              <w:rPr>
                <w:rFonts w:ascii="Times New Roman" w:hAnsi="Times New Roman" w:cs="Times New Roman"/>
              </w:rPr>
            </w:pPr>
            <w:r>
              <w:rPr>
                <w:rFonts w:ascii="Times New Roman" w:hAnsi="Times New Roman" w:cs="Times New Roman"/>
              </w:rPr>
              <w:t>Държавен фонд “Земеделие”</w:t>
            </w:r>
          </w:p>
        </w:tc>
      </w:tr>
      <w:tr w:rsidR="007F5391" w:rsidRPr="007713C1" w14:paraId="08D6776E" w14:textId="77777777" w:rsidTr="007F5391">
        <w:tc>
          <w:tcPr>
            <w:tcW w:w="3189" w:type="dxa"/>
            <w:shd w:val="clear" w:color="auto" w:fill="auto"/>
            <w:vAlign w:val="center"/>
          </w:tcPr>
          <w:p w14:paraId="2F2CA931" w14:textId="77777777" w:rsidR="007F5391" w:rsidRPr="007713C1" w:rsidRDefault="007F5391" w:rsidP="007F5391">
            <w:pPr>
              <w:tabs>
                <w:tab w:val="right" w:leader="dot" w:pos="9720"/>
              </w:tabs>
              <w:spacing w:line="360" w:lineRule="auto"/>
              <w:ind w:right="201"/>
              <w:rPr>
                <w:rFonts w:ascii="Times New Roman" w:hAnsi="Times New Roman" w:cs="Times New Roman"/>
                <w:b/>
              </w:rPr>
            </w:pPr>
            <w:r w:rsidRPr="007713C1">
              <w:rPr>
                <w:rFonts w:ascii="Times New Roman" w:hAnsi="Times New Roman" w:cs="Times New Roman"/>
                <w:b/>
              </w:rPr>
              <w:t>УО</w:t>
            </w:r>
          </w:p>
        </w:tc>
        <w:tc>
          <w:tcPr>
            <w:tcW w:w="6237" w:type="dxa"/>
            <w:shd w:val="clear" w:color="auto" w:fill="auto"/>
            <w:vAlign w:val="center"/>
          </w:tcPr>
          <w:p w14:paraId="5F638AF3" w14:textId="77777777" w:rsidR="007F5391" w:rsidRPr="007713C1" w:rsidRDefault="007F5391" w:rsidP="007F5391">
            <w:pPr>
              <w:tabs>
                <w:tab w:val="right" w:leader="dot" w:pos="9720"/>
              </w:tabs>
              <w:ind w:right="198"/>
              <w:rPr>
                <w:rFonts w:ascii="Times New Roman" w:hAnsi="Times New Roman" w:cs="Times New Roman"/>
              </w:rPr>
            </w:pPr>
            <w:r w:rsidRPr="007713C1">
              <w:rPr>
                <w:rFonts w:ascii="Times New Roman" w:hAnsi="Times New Roman" w:cs="Times New Roman"/>
              </w:rPr>
              <w:t>Управляващ орган</w:t>
            </w:r>
          </w:p>
        </w:tc>
      </w:tr>
    </w:tbl>
    <w:p w14:paraId="26B060B3" w14:textId="77777777" w:rsidR="00132B9C" w:rsidRPr="007713C1" w:rsidRDefault="00132B9C" w:rsidP="00462B4A">
      <w:pPr>
        <w:pStyle w:val="Heading1"/>
        <w:pageBreakBefore/>
      </w:pPr>
      <w:bookmarkStart w:id="0" w:name="_Toc442298704"/>
      <w:bookmarkStart w:id="1" w:name="_Toc445385556"/>
      <w:bookmarkStart w:id="2" w:name="_Toc535495173"/>
      <w:r w:rsidRPr="007713C1">
        <w:lastRenderedPageBreak/>
        <w:t>1. Наименование на програмата:</w:t>
      </w:r>
      <w:bookmarkEnd w:id="0"/>
      <w:bookmarkEnd w:id="1"/>
      <w:bookmarkEnd w:id="2"/>
    </w:p>
    <w:p w14:paraId="577A6D2C" w14:textId="77777777" w:rsidR="0010018A" w:rsidRPr="007713C1" w:rsidRDefault="007A5B9B" w:rsidP="002325A3">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b/>
          <w:sz w:val="24"/>
          <w:szCs w:val="24"/>
        </w:rPr>
      </w:pPr>
      <w:r>
        <w:rPr>
          <w:rFonts w:ascii="Times New Roman" w:hAnsi="Times New Roman" w:cs="Times New Roman"/>
          <w:sz w:val="24"/>
          <w:szCs w:val="24"/>
        </w:rPr>
        <w:t>Програма за развитие на селските райони</w:t>
      </w:r>
      <w:r w:rsidR="00341037">
        <w:rPr>
          <w:rFonts w:ascii="Times New Roman" w:hAnsi="Times New Roman" w:cs="Times New Roman"/>
          <w:sz w:val="24"/>
          <w:szCs w:val="24"/>
        </w:rPr>
        <w:t xml:space="preserve"> (ПРСР)</w:t>
      </w:r>
      <w:r w:rsidR="00C8067E" w:rsidRPr="007713C1">
        <w:rPr>
          <w:rFonts w:ascii="Times New Roman" w:hAnsi="Times New Roman" w:cs="Times New Roman"/>
          <w:sz w:val="24"/>
          <w:szCs w:val="24"/>
        </w:rPr>
        <w:t xml:space="preserve"> 2014-2020</w:t>
      </w:r>
      <w:r w:rsidR="001737C2" w:rsidRPr="00B810A0">
        <w:rPr>
          <w:rFonts w:ascii="Times New Roman" w:hAnsi="Times New Roman" w:cs="Times New Roman"/>
          <w:sz w:val="24"/>
          <w:szCs w:val="24"/>
        </w:rPr>
        <w:t xml:space="preserve"> </w:t>
      </w:r>
      <w:r w:rsidR="001737C2">
        <w:rPr>
          <w:rFonts w:ascii="Times New Roman" w:hAnsi="Times New Roman" w:cs="Times New Roman"/>
          <w:sz w:val="24"/>
          <w:szCs w:val="24"/>
        </w:rPr>
        <w:t>чрез Водено от общностите местно развитие</w:t>
      </w:r>
      <w:r w:rsidR="00245C8D">
        <w:rPr>
          <w:rFonts w:ascii="Times New Roman" w:hAnsi="Times New Roman" w:cs="Times New Roman"/>
          <w:sz w:val="24"/>
          <w:szCs w:val="24"/>
        </w:rPr>
        <w:t>.</w:t>
      </w:r>
    </w:p>
    <w:p w14:paraId="0EBB0907" w14:textId="77777777" w:rsidR="008A2A1F" w:rsidRPr="007713C1" w:rsidRDefault="008A2A1F" w:rsidP="007570DC">
      <w:pPr>
        <w:pStyle w:val="Heading1"/>
      </w:pPr>
      <w:bookmarkStart w:id="3" w:name="_Toc445385563"/>
      <w:bookmarkStart w:id="4" w:name="_Toc535495174"/>
      <w:r w:rsidRPr="007713C1">
        <w:t>2. Наименование на приоритетната ос:</w:t>
      </w:r>
      <w:bookmarkEnd w:id="3"/>
      <w:bookmarkEnd w:id="4"/>
    </w:p>
    <w:p w14:paraId="65094A32" w14:textId="4B5E572B" w:rsidR="00005B9E" w:rsidRDefault="00005B9E" w:rsidP="007570DC">
      <w:pPr>
        <w:pStyle w:val="ListParagraph"/>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cs="Times New Roman"/>
          <w:sz w:val="24"/>
          <w:szCs w:val="24"/>
        </w:rPr>
      </w:pPr>
      <w:r>
        <w:rPr>
          <w:rFonts w:ascii="Times New Roman" w:hAnsi="Times New Roman" w:cs="Times New Roman"/>
          <w:sz w:val="24"/>
          <w:szCs w:val="24"/>
        </w:rPr>
        <w:t>П</w:t>
      </w:r>
      <w:r w:rsidR="00F028B8">
        <w:rPr>
          <w:rFonts w:ascii="Times New Roman" w:hAnsi="Times New Roman" w:cs="Times New Roman"/>
          <w:sz w:val="24"/>
          <w:szCs w:val="24"/>
        </w:rPr>
        <w:t>риоритетна област</w:t>
      </w:r>
      <w:r w:rsidRPr="00005B9E">
        <w:rPr>
          <w:rFonts w:ascii="Times New Roman" w:hAnsi="Times New Roman" w:cs="Times New Roman"/>
          <w:sz w:val="24"/>
          <w:szCs w:val="24"/>
        </w:rPr>
        <w:t xml:space="preserve"> с поставен акцент</w:t>
      </w:r>
      <w:r>
        <w:rPr>
          <w:rFonts w:ascii="Times New Roman" w:hAnsi="Times New Roman" w:cs="Times New Roman"/>
          <w:sz w:val="24"/>
          <w:szCs w:val="24"/>
        </w:rPr>
        <w:t>:</w:t>
      </w:r>
      <w:r w:rsidRPr="00005B9E">
        <w:t xml:space="preserve"> </w:t>
      </w:r>
    </w:p>
    <w:p w14:paraId="3E65CE9B" w14:textId="307050B5" w:rsidR="00005B9E" w:rsidRDefault="00005B9E" w:rsidP="007570DC">
      <w:pPr>
        <w:pStyle w:val="ListParagraph"/>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cs="Times New Roman"/>
          <w:sz w:val="24"/>
          <w:szCs w:val="24"/>
        </w:rPr>
      </w:pPr>
      <w:r w:rsidRPr="00005B9E">
        <w:rPr>
          <w:rFonts w:ascii="Times New Roman" w:hAnsi="Times New Roman" w:cs="Times New Roman"/>
          <w:sz w:val="24"/>
          <w:szCs w:val="24"/>
        </w:rPr>
        <w:t>2А) Подобряване на икономическите резултати на всички земеделски стопанства и улесняване на преструктурирането и модернизирането на стопанствата, особено с оглед на увеличаването на пазарното участие и ориентация и на разнообразяването в селското стопанство</w:t>
      </w:r>
    </w:p>
    <w:p w14:paraId="4F1E20D9" w14:textId="77777777" w:rsidR="00005B9E" w:rsidRDefault="00005B9E" w:rsidP="007570DC">
      <w:pPr>
        <w:pStyle w:val="ListParagraph"/>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cs="Times New Roman"/>
          <w:sz w:val="24"/>
          <w:szCs w:val="24"/>
        </w:rPr>
      </w:pPr>
    </w:p>
    <w:p w14:paraId="62B3EFC4" w14:textId="7D42F106" w:rsidR="00005B9E" w:rsidRDefault="00005B9E" w:rsidP="007570DC">
      <w:pPr>
        <w:pStyle w:val="ListParagraph"/>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cs="Times New Roman"/>
          <w:sz w:val="24"/>
          <w:szCs w:val="24"/>
        </w:rPr>
      </w:pPr>
      <w:r w:rsidRPr="00005B9E">
        <w:rPr>
          <w:rFonts w:ascii="Times New Roman" w:hAnsi="Times New Roman" w:cs="Times New Roman"/>
          <w:sz w:val="24"/>
          <w:szCs w:val="24"/>
        </w:rPr>
        <w:t>2А-2: Повишаване на жизнеспособността и устойчивостта на малките земеделски стопанства</w:t>
      </w:r>
    </w:p>
    <w:p w14:paraId="51DF0B68" w14:textId="77777777" w:rsidR="00005B9E" w:rsidRDefault="00005B9E" w:rsidP="007570DC">
      <w:pPr>
        <w:pStyle w:val="ListParagraph"/>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cs="Times New Roman"/>
          <w:sz w:val="24"/>
          <w:szCs w:val="24"/>
        </w:rPr>
      </w:pPr>
    </w:p>
    <w:p w14:paraId="3856156E" w14:textId="5905CF55" w:rsidR="00341037" w:rsidRDefault="00005B9E" w:rsidP="007570DC">
      <w:pPr>
        <w:pStyle w:val="ListParagraph"/>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cs="Times New Roman"/>
          <w:sz w:val="24"/>
          <w:szCs w:val="24"/>
        </w:rPr>
      </w:pPr>
      <w:r w:rsidRPr="00005B9E">
        <w:rPr>
          <w:rFonts w:ascii="Times New Roman" w:hAnsi="Times New Roman" w:cs="Times New Roman"/>
          <w:sz w:val="24"/>
          <w:szCs w:val="24"/>
        </w:rPr>
        <w:t>2А-4: Ускоряване на модернизацията и технологичното обновление на земеделските стопанства</w:t>
      </w:r>
    </w:p>
    <w:p w14:paraId="232A5F76" w14:textId="77777777" w:rsidR="008C690B" w:rsidRDefault="008C690B" w:rsidP="007570DC">
      <w:pPr>
        <w:pStyle w:val="ListParagraph"/>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cs="Times New Roman"/>
          <w:sz w:val="24"/>
          <w:szCs w:val="24"/>
        </w:rPr>
      </w:pPr>
    </w:p>
    <w:p w14:paraId="246B3664" w14:textId="684BCE31" w:rsidR="008C690B" w:rsidRPr="003515F3" w:rsidRDefault="008C690B" w:rsidP="007570DC">
      <w:pPr>
        <w:pStyle w:val="ListParagraph"/>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cs="Times New Roman"/>
          <w:sz w:val="24"/>
          <w:szCs w:val="24"/>
        </w:rPr>
      </w:pPr>
      <w:r w:rsidRPr="008C690B">
        <w:rPr>
          <w:rFonts w:ascii="Times New Roman" w:hAnsi="Times New Roman" w:cs="Times New Roman"/>
          <w:sz w:val="24"/>
          <w:szCs w:val="24"/>
        </w:rPr>
        <w:t>3А-2 Ускоряване на иновациите, подобряване на енергийната ефективност и технологичното обновление в хранителната промишленост</w:t>
      </w:r>
    </w:p>
    <w:p w14:paraId="5980E62A" w14:textId="77777777" w:rsidR="000D139D" w:rsidRPr="007713C1" w:rsidRDefault="000D139D" w:rsidP="007570DC">
      <w:pPr>
        <w:pStyle w:val="Heading1"/>
      </w:pPr>
      <w:bookmarkStart w:id="5" w:name="_Toc445385564"/>
      <w:bookmarkStart w:id="6" w:name="_Toc535495175"/>
      <w:r w:rsidRPr="007713C1">
        <w:t>3. Наименование на процедурата:</w:t>
      </w:r>
      <w:bookmarkEnd w:id="5"/>
      <w:bookmarkEnd w:id="6"/>
    </w:p>
    <w:p w14:paraId="410AC4DB" w14:textId="28B85566" w:rsidR="00A11A19" w:rsidRPr="008C690B" w:rsidRDefault="008C690B" w:rsidP="008C690B">
      <w:pPr>
        <w:pStyle w:val="ListParagraph"/>
        <w:pBdr>
          <w:top w:val="single" w:sz="4" w:space="1" w:color="auto"/>
          <w:left w:val="single" w:sz="4" w:space="4" w:color="auto"/>
          <w:bottom w:val="single" w:sz="4" w:space="1" w:color="auto"/>
          <w:right w:val="single" w:sz="4" w:space="4" w:color="auto"/>
        </w:pBdr>
        <w:spacing w:before="120" w:after="120" w:line="240" w:lineRule="auto"/>
        <w:ind w:left="0"/>
        <w:rPr>
          <w:rFonts w:ascii="Times New Roman" w:hAnsi="Times New Roman" w:cs="Times New Roman"/>
          <w:sz w:val="24"/>
          <w:szCs w:val="24"/>
        </w:rPr>
      </w:pPr>
      <w:r w:rsidRPr="008C690B">
        <w:rPr>
          <w:rFonts w:ascii="Times New Roman" w:hAnsi="Times New Roman" w:cs="Times New Roman"/>
          <w:sz w:val="24"/>
          <w:szCs w:val="24"/>
        </w:rPr>
        <w:t xml:space="preserve">Процедура чрез подбор на проектни предложения № </w:t>
      </w:r>
      <w:r w:rsidR="00E72C85" w:rsidRPr="00E72C85">
        <w:rPr>
          <w:rFonts w:ascii="Times New Roman" w:hAnsi="Times New Roman" w:cs="Times New Roman"/>
          <w:sz w:val="24"/>
          <w:szCs w:val="24"/>
          <w:lang w:val="en-US"/>
        </w:rPr>
        <w:t>BG06RDNP001-19.605</w:t>
      </w:r>
      <w:r w:rsidR="00E72C85">
        <w:rPr>
          <w:rFonts w:ascii="Times New Roman" w:hAnsi="Times New Roman" w:cs="Times New Roman"/>
          <w:sz w:val="24"/>
          <w:szCs w:val="24"/>
        </w:rPr>
        <w:t xml:space="preserve"> </w:t>
      </w:r>
      <w:r w:rsidR="008F462C">
        <w:rPr>
          <w:rFonts w:ascii="Times New Roman" w:hAnsi="Times New Roman" w:cs="Times New Roman"/>
          <w:sz w:val="24"/>
          <w:szCs w:val="24"/>
        </w:rPr>
        <w:t xml:space="preserve">МИГ </w:t>
      </w:r>
      <w:r w:rsidR="008916EB" w:rsidRPr="008C690B">
        <w:rPr>
          <w:rFonts w:ascii="Times New Roman" w:hAnsi="Times New Roman" w:cs="Times New Roman"/>
          <w:sz w:val="24"/>
          <w:szCs w:val="24"/>
        </w:rPr>
        <w:t>Поморие_</w:t>
      </w:r>
      <w:r w:rsidR="00760D96" w:rsidRPr="008C690B">
        <w:rPr>
          <w:rFonts w:ascii="Times New Roman" w:hAnsi="Times New Roman" w:cs="Times New Roman"/>
          <w:sz w:val="24"/>
          <w:szCs w:val="24"/>
        </w:rPr>
        <w:t>4.2_</w:t>
      </w:r>
      <w:r w:rsidR="008916EB" w:rsidRPr="008C690B">
        <w:rPr>
          <w:rFonts w:ascii="Times New Roman" w:hAnsi="Times New Roman" w:cs="Times New Roman"/>
          <w:sz w:val="24"/>
          <w:szCs w:val="24"/>
        </w:rPr>
        <w:t>М</w:t>
      </w:r>
      <w:r w:rsidR="00C2751D" w:rsidRPr="008C690B">
        <w:rPr>
          <w:rFonts w:ascii="Times New Roman" w:hAnsi="Times New Roman" w:cs="Times New Roman"/>
          <w:sz w:val="24"/>
          <w:szCs w:val="24"/>
        </w:rPr>
        <w:t>2</w:t>
      </w:r>
      <w:r w:rsidR="00D73770" w:rsidRPr="008C690B">
        <w:rPr>
          <w:rFonts w:ascii="Times New Roman" w:hAnsi="Times New Roman" w:cs="Times New Roman"/>
          <w:sz w:val="24"/>
          <w:szCs w:val="24"/>
        </w:rPr>
        <w:t>“</w:t>
      </w:r>
      <w:r w:rsidR="00C2751D" w:rsidRPr="008C690B">
        <w:rPr>
          <w:rFonts w:ascii="Times New Roman" w:hAnsi="Times New Roman" w:cs="Times New Roman"/>
          <w:sz w:val="24"/>
          <w:szCs w:val="24"/>
        </w:rPr>
        <w:t>Инвестиции в преработка/маркетинг на селскостопански продукти</w:t>
      </w:r>
      <w:r w:rsidR="00D73770" w:rsidRPr="008C690B">
        <w:rPr>
          <w:rFonts w:ascii="Times New Roman" w:hAnsi="Times New Roman" w:cs="Times New Roman"/>
          <w:sz w:val="24"/>
          <w:szCs w:val="24"/>
        </w:rPr>
        <w:t>”</w:t>
      </w:r>
    </w:p>
    <w:p w14:paraId="552ED91A" w14:textId="77777777" w:rsidR="00A11A19" w:rsidRPr="007713C1" w:rsidRDefault="00A11A19" w:rsidP="007570DC">
      <w:pPr>
        <w:pStyle w:val="Heading1"/>
      </w:pPr>
      <w:bookmarkStart w:id="7" w:name="_Toc445385565"/>
      <w:bookmarkStart w:id="8" w:name="_Toc535495176"/>
      <w:r w:rsidRPr="007713C1">
        <w:t>4. Измерения по кодове</w:t>
      </w:r>
      <w:r w:rsidR="00D467D3" w:rsidRPr="007713C1">
        <w:rPr>
          <w:rStyle w:val="FootnoteReference"/>
          <w:b w:val="0"/>
        </w:rPr>
        <w:footnoteReference w:id="1"/>
      </w:r>
      <w:r w:rsidRPr="007713C1">
        <w:t>:</w:t>
      </w:r>
      <w:bookmarkEnd w:id="7"/>
      <w:bookmarkEnd w:id="8"/>
      <w:r w:rsidR="002325A3" w:rsidRPr="007713C1">
        <w:t xml:space="preserve">  </w:t>
      </w:r>
    </w:p>
    <w:tbl>
      <w:tblPr>
        <w:tblStyle w:val="TableGrid"/>
        <w:tblW w:w="9640" w:type="dxa"/>
        <w:tblInd w:w="-34" w:type="dxa"/>
        <w:tblLook w:val="04A0" w:firstRow="1" w:lastRow="0" w:firstColumn="1" w:lastColumn="0" w:noHBand="0" w:noVBand="1"/>
      </w:tblPr>
      <w:tblGrid>
        <w:gridCol w:w="9640"/>
      </w:tblGrid>
      <w:tr w:rsidR="00A11A19" w:rsidRPr="007713C1" w14:paraId="091EA417" w14:textId="77777777" w:rsidTr="00BE2474">
        <w:tc>
          <w:tcPr>
            <w:tcW w:w="9640" w:type="dxa"/>
          </w:tcPr>
          <w:p w14:paraId="2E302C42" w14:textId="48C0F1EC" w:rsidR="00A11A19" w:rsidRPr="00EC6D6F" w:rsidRDefault="00EC6D6F" w:rsidP="00FD78FC">
            <w:pPr>
              <w:pStyle w:val="ListParagraph"/>
              <w:spacing w:before="120" w:after="120"/>
              <w:ind w:left="0"/>
              <w:contextualSpacing w:val="0"/>
              <w:jc w:val="both"/>
              <w:rPr>
                <w:sz w:val="24"/>
                <w:szCs w:val="24"/>
              </w:rPr>
            </w:pPr>
            <w:r w:rsidRPr="00EC6D6F">
              <w:rPr>
                <w:sz w:val="24"/>
                <w:szCs w:val="24"/>
              </w:rPr>
              <w:t>Неприложимо.</w:t>
            </w:r>
          </w:p>
        </w:tc>
      </w:tr>
    </w:tbl>
    <w:p w14:paraId="7789BE19" w14:textId="77777777" w:rsidR="00C338A6" w:rsidRPr="007713C1" w:rsidRDefault="00C338A6" w:rsidP="007570DC">
      <w:pPr>
        <w:pStyle w:val="Heading1"/>
      </w:pPr>
      <w:bookmarkStart w:id="9" w:name="_Toc445385566"/>
      <w:bookmarkStart w:id="10" w:name="_Toc535495177"/>
      <w:r w:rsidRPr="007713C1">
        <w:t>5. Териториален обхват:</w:t>
      </w:r>
      <w:bookmarkEnd w:id="9"/>
      <w:bookmarkEnd w:id="10"/>
    </w:p>
    <w:p w14:paraId="7A4ECAAD" w14:textId="77777777" w:rsidR="00B22AC3" w:rsidRPr="00B22AC3" w:rsidRDefault="00B22AC3" w:rsidP="007570DC">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sz w:val="24"/>
          <w:szCs w:val="24"/>
        </w:rPr>
      </w:pPr>
      <w:r w:rsidRPr="00B22AC3">
        <w:rPr>
          <w:rFonts w:ascii="Times New Roman" w:hAnsi="Times New Roman" w:cs="Times New Roman"/>
          <w:sz w:val="24"/>
          <w:szCs w:val="24"/>
        </w:rPr>
        <w:t>Проектите се изпълняват на територията на МИГ-Поморие.</w:t>
      </w:r>
    </w:p>
    <w:p w14:paraId="3BC249F5" w14:textId="77777777" w:rsidR="00BA0A9F" w:rsidRPr="007713C1" w:rsidRDefault="00C338A6" w:rsidP="007570DC">
      <w:pPr>
        <w:pStyle w:val="Heading1"/>
      </w:pPr>
      <w:bookmarkStart w:id="11" w:name="_Toc445385567"/>
      <w:bookmarkStart w:id="12" w:name="_Toc535495178"/>
      <w:r w:rsidRPr="007713C1">
        <w:t>6. Цели на предоставяната безвъзмездна финансова помощ по процедурата и очаквани резултати:</w:t>
      </w:r>
      <w:bookmarkEnd w:id="11"/>
      <w:bookmarkEnd w:id="12"/>
    </w:p>
    <w:tbl>
      <w:tblPr>
        <w:tblStyle w:val="TableGrid"/>
        <w:tblW w:w="9527" w:type="dxa"/>
        <w:tblInd w:w="-34" w:type="dxa"/>
        <w:tblLook w:val="04A0" w:firstRow="1" w:lastRow="0" w:firstColumn="1" w:lastColumn="0" w:noHBand="0" w:noVBand="1"/>
      </w:tblPr>
      <w:tblGrid>
        <w:gridCol w:w="9527"/>
      </w:tblGrid>
      <w:tr w:rsidR="00BA0A9F" w:rsidRPr="007713C1" w14:paraId="4FAEF505" w14:textId="77777777" w:rsidTr="00BE2474">
        <w:tc>
          <w:tcPr>
            <w:tcW w:w="9527" w:type="dxa"/>
          </w:tcPr>
          <w:p w14:paraId="279C0044" w14:textId="77B44416" w:rsidR="00153C49" w:rsidRDefault="00BA0A9F" w:rsidP="00BA0A9F">
            <w:pPr>
              <w:pStyle w:val="ListParagraph"/>
              <w:spacing w:before="120" w:after="120"/>
              <w:ind w:left="0"/>
              <w:jc w:val="both"/>
              <w:rPr>
                <w:b/>
                <w:sz w:val="24"/>
                <w:szCs w:val="24"/>
              </w:rPr>
            </w:pPr>
            <w:r w:rsidRPr="007713C1">
              <w:rPr>
                <w:b/>
                <w:sz w:val="24"/>
                <w:szCs w:val="24"/>
              </w:rPr>
              <w:t>Цел</w:t>
            </w:r>
            <w:r w:rsidR="00935E1E">
              <w:rPr>
                <w:b/>
                <w:sz w:val="24"/>
                <w:szCs w:val="24"/>
              </w:rPr>
              <w:t>и</w:t>
            </w:r>
            <w:r w:rsidRPr="007713C1">
              <w:rPr>
                <w:b/>
                <w:sz w:val="24"/>
                <w:szCs w:val="24"/>
              </w:rPr>
              <w:t xml:space="preserve"> на процедурата:</w:t>
            </w:r>
          </w:p>
          <w:p w14:paraId="024C6CCA" w14:textId="0C0F0DCD" w:rsidR="00C2751D" w:rsidRPr="00C2751D" w:rsidRDefault="00C2751D" w:rsidP="00C2751D">
            <w:pPr>
              <w:autoSpaceDE w:val="0"/>
              <w:autoSpaceDN w:val="0"/>
              <w:adjustRightInd w:val="0"/>
              <w:jc w:val="both"/>
              <w:rPr>
                <w:color w:val="000000"/>
                <w:sz w:val="24"/>
                <w:szCs w:val="24"/>
              </w:rPr>
            </w:pPr>
            <w:r>
              <w:rPr>
                <w:color w:val="000000"/>
                <w:sz w:val="24"/>
                <w:szCs w:val="24"/>
              </w:rPr>
              <w:lastRenderedPageBreak/>
              <w:t>П</w:t>
            </w:r>
            <w:r w:rsidRPr="00C2751D">
              <w:rPr>
                <w:color w:val="000000"/>
                <w:sz w:val="24"/>
                <w:szCs w:val="24"/>
              </w:rPr>
              <w:t>одобряване на цялостната дейност, икономическата ефективност и</w:t>
            </w:r>
            <w:r>
              <w:rPr>
                <w:color w:val="000000"/>
                <w:sz w:val="24"/>
                <w:szCs w:val="24"/>
              </w:rPr>
              <w:t xml:space="preserve"> </w:t>
            </w:r>
            <w:r w:rsidRPr="00C2751D">
              <w:rPr>
                <w:color w:val="000000"/>
                <w:sz w:val="24"/>
                <w:szCs w:val="24"/>
              </w:rPr>
              <w:t>конкурентоспособността на предприятия от хранително-преработвателната промишленост</w:t>
            </w:r>
            <w:r>
              <w:rPr>
                <w:color w:val="000000"/>
                <w:sz w:val="24"/>
                <w:szCs w:val="24"/>
              </w:rPr>
              <w:t xml:space="preserve"> </w:t>
            </w:r>
            <w:r w:rsidRPr="00C2751D">
              <w:rPr>
                <w:color w:val="000000"/>
                <w:sz w:val="24"/>
                <w:szCs w:val="24"/>
              </w:rPr>
              <w:t>чрез:</w:t>
            </w:r>
          </w:p>
          <w:p w14:paraId="48F630AA" w14:textId="77777777" w:rsidR="00C2751D" w:rsidRPr="00C2751D" w:rsidRDefault="00C2751D" w:rsidP="00C2751D">
            <w:pPr>
              <w:pStyle w:val="ListParagraph"/>
              <w:autoSpaceDE w:val="0"/>
              <w:autoSpaceDN w:val="0"/>
              <w:adjustRightInd w:val="0"/>
              <w:jc w:val="both"/>
              <w:rPr>
                <w:color w:val="000000"/>
                <w:sz w:val="24"/>
                <w:szCs w:val="24"/>
              </w:rPr>
            </w:pPr>
            <w:r w:rsidRPr="00C2751D">
              <w:rPr>
                <w:color w:val="000000"/>
                <w:sz w:val="24"/>
                <w:szCs w:val="24"/>
              </w:rPr>
              <w:t>1. по-добро използване на факторите за производство;</w:t>
            </w:r>
          </w:p>
          <w:p w14:paraId="00E766BD" w14:textId="62600C8F" w:rsidR="00C2751D" w:rsidRPr="00C2751D" w:rsidRDefault="00C2751D" w:rsidP="00C2751D">
            <w:pPr>
              <w:pStyle w:val="ListParagraph"/>
              <w:autoSpaceDE w:val="0"/>
              <w:autoSpaceDN w:val="0"/>
              <w:adjustRightInd w:val="0"/>
              <w:jc w:val="both"/>
              <w:rPr>
                <w:color w:val="000000"/>
                <w:sz w:val="24"/>
                <w:szCs w:val="24"/>
              </w:rPr>
            </w:pPr>
            <w:r w:rsidRPr="00C2751D">
              <w:rPr>
                <w:color w:val="000000"/>
                <w:sz w:val="24"/>
                <w:szCs w:val="24"/>
              </w:rPr>
              <w:t>2. въвеждане на нови продукти, процеси и технологии, включително къси вериги на</w:t>
            </w:r>
            <w:r>
              <w:rPr>
                <w:color w:val="000000"/>
                <w:sz w:val="24"/>
                <w:szCs w:val="24"/>
              </w:rPr>
              <w:t xml:space="preserve"> </w:t>
            </w:r>
            <w:r w:rsidRPr="00C2751D">
              <w:rPr>
                <w:color w:val="000000"/>
                <w:sz w:val="24"/>
                <w:szCs w:val="24"/>
              </w:rPr>
              <w:t>доставка;</w:t>
            </w:r>
          </w:p>
          <w:p w14:paraId="485D10D7" w14:textId="77777777" w:rsidR="00C2751D" w:rsidRPr="00C2751D" w:rsidRDefault="00C2751D" w:rsidP="00C2751D">
            <w:pPr>
              <w:pStyle w:val="ListParagraph"/>
              <w:autoSpaceDE w:val="0"/>
              <w:autoSpaceDN w:val="0"/>
              <w:adjustRightInd w:val="0"/>
              <w:jc w:val="both"/>
              <w:rPr>
                <w:color w:val="000000"/>
                <w:sz w:val="24"/>
                <w:szCs w:val="24"/>
              </w:rPr>
            </w:pPr>
            <w:r w:rsidRPr="00C2751D">
              <w:rPr>
                <w:color w:val="000000"/>
                <w:sz w:val="24"/>
                <w:szCs w:val="24"/>
              </w:rPr>
              <w:t>3. подобряване на качеството и безопасността на храните и тяхната проследяемост;</w:t>
            </w:r>
          </w:p>
          <w:p w14:paraId="355BDA14" w14:textId="77777777" w:rsidR="00C2751D" w:rsidRPr="00C2751D" w:rsidRDefault="00C2751D" w:rsidP="00C2751D">
            <w:pPr>
              <w:pStyle w:val="ListParagraph"/>
              <w:autoSpaceDE w:val="0"/>
              <w:autoSpaceDN w:val="0"/>
              <w:adjustRightInd w:val="0"/>
              <w:jc w:val="both"/>
              <w:rPr>
                <w:color w:val="000000"/>
                <w:sz w:val="24"/>
                <w:szCs w:val="24"/>
              </w:rPr>
            </w:pPr>
            <w:r w:rsidRPr="00C2751D">
              <w:rPr>
                <w:color w:val="000000"/>
                <w:sz w:val="24"/>
                <w:szCs w:val="24"/>
              </w:rPr>
              <w:t>4. постигане на съответствие със стандартите на Европейския съюз (ЕС);</w:t>
            </w:r>
          </w:p>
          <w:p w14:paraId="78782E6B" w14:textId="1FCA0BA2" w:rsidR="00FD34BA" w:rsidRPr="00DB14EC" w:rsidRDefault="00C2751D" w:rsidP="00C2751D">
            <w:pPr>
              <w:autoSpaceDE w:val="0"/>
              <w:autoSpaceDN w:val="0"/>
              <w:adjustRightInd w:val="0"/>
              <w:ind w:left="720"/>
              <w:jc w:val="both"/>
              <w:rPr>
                <w:color w:val="000000"/>
                <w:sz w:val="24"/>
                <w:szCs w:val="24"/>
              </w:rPr>
            </w:pPr>
            <w:r w:rsidRPr="00C2751D">
              <w:rPr>
                <w:color w:val="000000"/>
                <w:sz w:val="24"/>
                <w:szCs w:val="24"/>
              </w:rPr>
              <w:t>5. подобряване опазването на околната среда</w:t>
            </w:r>
          </w:p>
          <w:p w14:paraId="53466991" w14:textId="77777777" w:rsidR="00BA0A9F" w:rsidRPr="00AE32E0" w:rsidRDefault="00AE32E0" w:rsidP="00BA0A9F">
            <w:pPr>
              <w:pStyle w:val="ListParagraph"/>
              <w:spacing w:before="120" w:after="120"/>
              <w:ind w:left="0"/>
              <w:jc w:val="both"/>
              <w:rPr>
                <w:b/>
                <w:sz w:val="24"/>
                <w:szCs w:val="24"/>
              </w:rPr>
            </w:pPr>
            <w:r>
              <w:rPr>
                <w:b/>
                <w:sz w:val="24"/>
                <w:szCs w:val="24"/>
              </w:rPr>
              <w:t>Очаквани резултати:</w:t>
            </w:r>
          </w:p>
          <w:p w14:paraId="31DE5095" w14:textId="77777777" w:rsidR="00892AA1" w:rsidRDefault="005B41CA" w:rsidP="00892AA1">
            <w:pPr>
              <w:tabs>
                <w:tab w:val="left" w:pos="5163"/>
              </w:tabs>
              <w:spacing w:before="120" w:after="120"/>
              <w:jc w:val="both"/>
              <w:rPr>
                <w:sz w:val="24"/>
                <w:szCs w:val="24"/>
              </w:rPr>
            </w:pPr>
            <w:r>
              <w:rPr>
                <w:sz w:val="24"/>
                <w:szCs w:val="24"/>
              </w:rPr>
              <w:t>Чрез</w:t>
            </w:r>
            <w:r w:rsidRPr="00EA1E75">
              <w:rPr>
                <w:sz w:val="24"/>
                <w:szCs w:val="24"/>
              </w:rPr>
              <w:t xml:space="preserve"> </w:t>
            </w:r>
            <w:r w:rsidR="00AE32E0" w:rsidRPr="00EA1E75">
              <w:rPr>
                <w:sz w:val="24"/>
                <w:szCs w:val="24"/>
              </w:rPr>
              <w:t>финансирането на про</w:t>
            </w:r>
            <w:r w:rsidR="00281DFE">
              <w:rPr>
                <w:sz w:val="24"/>
                <w:szCs w:val="24"/>
              </w:rPr>
              <w:t xml:space="preserve">екти по </w:t>
            </w:r>
            <w:r>
              <w:rPr>
                <w:sz w:val="24"/>
                <w:szCs w:val="24"/>
              </w:rPr>
              <w:t xml:space="preserve">настоящата </w:t>
            </w:r>
            <w:r w:rsidR="00281DFE">
              <w:rPr>
                <w:sz w:val="24"/>
                <w:szCs w:val="24"/>
              </w:rPr>
              <w:t xml:space="preserve">мярка </w:t>
            </w:r>
            <w:r>
              <w:rPr>
                <w:sz w:val="24"/>
                <w:szCs w:val="24"/>
              </w:rPr>
              <w:t xml:space="preserve">се </w:t>
            </w:r>
            <w:r w:rsidR="00892AA1">
              <w:rPr>
                <w:sz w:val="24"/>
                <w:szCs w:val="24"/>
              </w:rPr>
              <w:t>цели постигането на следните резултати:</w:t>
            </w:r>
          </w:p>
          <w:p w14:paraId="015D6F54" w14:textId="67754C42" w:rsidR="00C454A1" w:rsidRPr="00C454A1" w:rsidRDefault="00C454A1" w:rsidP="00774ED2">
            <w:pPr>
              <w:pStyle w:val="ListParagraph"/>
              <w:numPr>
                <w:ilvl w:val="0"/>
                <w:numId w:val="19"/>
              </w:numPr>
              <w:tabs>
                <w:tab w:val="left" w:pos="5163"/>
              </w:tabs>
              <w:spacing w:before="120" w:after="120"/>
              <w:jc w:val="both"/>
              <w:rPr>
                <w:rFonts w:asciiTheme="minorHAnsi" w:eastAsiaTheme="minorHAnsi" w:hAnsiTheme="minorHAnsi" w:cstheme="minorBidi"/>
                <w:sz w:val="24"/>
                <w:szCs w:val="24"/>
                <w:lang w:eastAsia="en-US"/>
              </w:rPr>
            </w:pPr>
            <w:r w:rsidRPr="00C454A1">
              <w:rPr>
                <w:sz w:val="24"/>
                <w:szCs w:val="24"/>
              </w:rPr>
              <w:t>Предприятия/стопанства, внедрили нови и/или модернизирали/наличните мощности – 5 бр.</w:t>
            </w:r>
          </w:p>
          <w:p w14:paraId="4093F39C" w14:textId="2E0B04D9" w:rsidR="009853D7" w:rsidRDefault="00C454A1" w:rsidP="00774ED2">
            <w:pPr>
              <w:pStyle w:val="ListParagraph"/>
              <w:numPr>
                <w:ilvl w:val="0"/>
                <w:numId w:val="19"/>
              </w:numPr>
              <w:tabs>
                <w:tab w:val="left" w:pos="5163"/>
              </w:tabs>
              <w:spacing w:before="120" w:after="120"/>
              <w:jc w:val="both"/>
              <w:rPr>
                <w:rFonts w:asciiTheme="minorHAnsi" w:eastAsiaTheme="minorHAnsi" w:hAnsiTheme="minorHAnsi" w:cstheme="minorBidi"/>
                <w:sz w:val="24"/>
                <w:szCs w:val="24"/>
                <w:lang w:eastAsia="en-US"/>
              </w:rPr>
            </w:pPr>
            <w:r>
              <w:rPr>
                <w:sz w:val="24"/>
                <w:szCs w:val="24"/>
              </w:rPr>
              <w:t>В</w:t>
            </w:r>
            <w:r w:rsidR="009853D7">
              <w:rPr>
                <w:sz w:val="24"/>
                <w:szCs w:val="24"/>
              </w:rPr>
              <w:t>ъведени мерки за енергийна ефективност в 2 предприятия</w:t>
            </w:r>
            <w:r w:rsidR="009853D7">
              <w:rPr>
                <w:sz w:val="24"/>
                <w:szCs w:val="24"/>
                <w:lang w:val="en-GB"/>
              </w:rPr>
              <w:t>/</w:t>
            </w:r>
            <w:r w:rsidR="00BE2474">
              <w:rPr>
                <w:sz w:val="24"/>
                <w:szCs w:val="24"/>
              </w:rPr>
              <w:t>стоп</w:t>
            </w:r>
            <w:r w:rsidR="009853D7">
              <w:rPr>
                <w:sz w:val="24"/>
                <w:szCs w:val="24"/>
              </w:rPr>
              <w:t>а</w:t>
            </w:r>
            <w:r w:rsidR="00BE2474">
              <w:rPr>
                <w:sz w:val="24"/>
                <w:szCs w:val="24"/>
              </w:rPr>
              <w:t>н</w:t>
            </w:r>
            <w:r w:rsidR="009853D7">
              <w:rPr>
                <w:sz w:val="24"/>
                <w:szCs w:val="24"/>
              </w:rPr>
              <w:t>ства;</w:t>
            </w:r>
          </w:p>
          <w:p w14:paraId="07E73683" w14:textId="77C5C628" w:rsidR="009853D7" w:rsidRDefault="009853D7" w:rsidP="00774ED2">
            <w:pPr>
              <w:pStyle w:val="ListParagraph"/>
              <w:numPr>
                <w:ilvl w:val="0"/>
                <w:numId w:val="19"/>
              </w:numPr>
              <w:tabs>
                <w:tab w:val="left" w:pos="5163"/>
              </w:tabs>
              <w:spacing w:before="120" w:after="120"/>
              <w:jc w:val="both"/>
              <w:rPr>
                <w:rFonts w:asciiTheme="minorHAnsi" w:eastAsiaTheme="minorHAnsi" w:hAnsiTheme="minorHAnsi" w:cstheme="minorBidi"/>
                <w:sz w:val="24"/>
                <w:szCs w:val="24"/>
                <w:lang w:eastAsia="en-US"/>
              </w:rPr>
            </w:pPr>
            <w:r>
              <w:rPr>
                <w:sz w:val="24"/>
                <w:szCs w:val="24"/>
              </w:rPr>
              <w:t xml:space="preserve">Въведен нов </w:t>
            </w:r>
            <w:r w:rsidR="00C454A1">
              <w:rPr>
                <w:sz w:val="24"/>
                <w:szCs w:val="24"/>
              </w:rPr>
              <w:t xml:space="preserve">продукт, </w:t>
            </w:r>
            <w:r>
              <w:rPr>
                <w:sz w:val="24"/>
                <w:szCs w:val="24"/>
              </w:rPr>
              <w:t>процес или технология в 1 предприятие</w:t>
            </w:r>
            <w:r w:rsidR="00C454A1">
              <w:rPr>
                <w:sz w:val="24"/>
                <w:szCs w:val="24"/>
              </w:rPr>
              <w:t>/стопанство</w:t>
            </w:r>
            <w:r>
              <w:rPr>
                <w:sz w:val="24"/>
                <w:szCs w:val="24"/>
              </w:rPr>
              <w:t xml:space="preserve">; </w:t>
            </w:r>
          </w:p>
          <w:p w14:paraId="7D371069" w14:textId="77777777" w:rsidR="009853D7" w:rsidRDefault="009853D7" w:rsidP="00774ED2">
            <w:pPr>
              <w:pStyle w:val="ListParagraph"/>
              <w:numPr>
                <w:ilvl w:val="0"/>
                <w:numId w:val="19"/>
              </w:numPr>
              <w:tabs>
                <w:tab w:val="left" w:pos="5163"/>
              </w:tabs>
              <w:spacing w:before="120" w:after="120"/>
              <w:jc w:val="both"/>
              <w:rPr>
                <w:rFonts w:asciiTheme="minorHAnsi" w:eastAsiaTheme="minorHAnsi" w:hAnsiTheme="minorHAnsi" w:cstheme="minorBidi"/>
                <w:sz w:val="24"/>
                <w:szCs w:val="24"/>
                <w:lang w:eastAsia="en-US"/>
              </w:rPr>
            </w:pPr>
            <w:r>
              <w:rPr>
                <w:sz w:val="24"/>
                <w:szCs w:val="24"/>
              </w:rPr>
              <w:t>Създадени работни местна – 4 б.</w:t>
            </w:r>
          </w:p>
          <w:p w14:paraId="4F4CC85A" w14:textId="66237F92" w:rsidR="00E0672E" w:rsidRPr="00774ED2" w:rsidRDefault="000C37C1" w:rsidP="009853D7">
            <w:pPr>
              <w:tabs>
                <w:tab w:val="left" w:pos="5163"/>
              </w:tabs>
              <w:spacing w:before="120" w:after="120" w:line="259" w:lineRule="auto"/>
              <w:jc w:val="both"/>
              <w:rPr>
                <w:sz w:val="24"/>
                <w:szCs w:val="24"/>
              </w:rPr>
            </w:pPr>
            <w:r w:rsidRPr="00774ED2">
              <w:rPr>
                <w:sz w:val="24"/>
                <w:szCs w:val="24"/>
              </w:rPr>
              <w:t xml:space="preserve">Подпомагането по мярката ще </w:t>
            </w:r>
            <w:r w:rsidR="009853D7">
              <w:rPr>
                <w:sz w:val="24"/>
                <w:szCs w:val="24"/>
              </w:rPr>
              <w:t xml:space="preserve">доведе до </w:t>
            </w:r>
            <w:r w:rsidRPr="00774ED2">
              <w:rPr>
                <w:sz w:val="24"/>
                <w:szCs w:val="24"/>
              </w:rPr>
              <w:t>по</w:t>
            </w:r>
            <w:r w:rsidR="009853D7">
              <w:rPr>
                <w:sz w:val="24"/>
                <w:szCs w:val="24"/>
              </w:rPr>
              <w:t>-</w:t>
            </w:r>
            <w:r w:rsidRPr="00774ED2">
              <w:rPr>
                <w:sz w:val="24"/>
                <w:szCs w:val="24"/>
              </w:rPr>
              <w:t>пълно</w:t>
            </w:r>
            <w:r w:rsidR="009853D7">
              <w:rPr>
                <w:sz w:val="24"/>
                <w:szCs w:val="24"/>
              </w:rPr>
              <w:t>то</w:t>
            </w:r>
            <w:r w:rsidRPr="00774ED2">
              <w:rPr>
                <w:sz w:val="24"/>
                <w:szCs w:val="24"/>
              </w:rPr>
              <w:t xml:space="preserve"> интегриране между преработвателите и доставчиците на суровини</w:t>
            </w:r>
            <w:r w:rsidR="009853D7">
              <w:rPr>
                <w:sz w:val="24"/>
                <w:szCs w:val="24"/>
              </w:rPr>
              <w:t xml:space="preserve">, което да повиши добавената стойност за територията на МИГ. </w:t>
            </w:r>
          </w:p>
        </w:tc>
      </w:tr>
    </w:tbl>
    <w:p w14:paraId="05FA8FDF" w14:textId="77777777" w:rsidR="00821B06" w:rsidRDefault="00821B06" w:rsidP="007570DC">
      <w:pPr>
        <w:pStyle w:val="Heading1"/>
      </w:pPr>
      <w:bookmarkStart w:id="13" w:name="_Toc445385568"/>
      <w:bookmarkStart w:id="14" w:name="_Toc535495179"/>
      <w:r w:rsidRPr="007713C1">
        <w:lastRenderedPageBreak/>
        <w:t>7. Индикатори:</w:t>
      </w:r>
      <w:bookmarkEnd w:id="13"/>
      <w:bookmarkEnd w:id="14"/>
    </w:p>
    <w:p w14:paraId="343A4222" w14:textId="3C4E5D25" w:rsidR="00E603D2" w:rsidRPr="004B2A05" w:rsidRDefault="00E603D2" w:rsidP="004B2A0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4C1FE9">
        <w:rPr>
          <w:rFonts w:ascii="Times New Roman" w:hAnsi="Times New Roman"/>
          <w:sz w:val="24"/>
          <w:szCs w:val="24"/>
        </w:rPr>
        <w:t>В съответствие с  целите на Стратегията за  ВОМР на МИГ „</w:t>
      </w:r>
      <w:r>
        <w:rPr>
          <w:rFonts w:ascii="Times New Roman" w:hAnsi="Times New Roman"/>
          <w:sz w:val="24"/>
          <w:szCs w:val="24"/>
        </w:rPr>
        <w:t>Поморие</w:t>
      </w:r>
      <w:r w:rsidRPr="004C1FE9">
        <w:rPr>
          <w:rFonts w:ascii="Times New Roman" w:hAnsi="Times New Roman"/>
          <w:sz w:val="24"/>
          <w:szCs w:val="24"/>
        </w:rPr>
        <w:t>” проектните предложения по настоящите Условия за кандидатстване следва да допринасят за постигането на следните индикатори:</w:t>
      </w:r>
    </w:p>
    <w:tbl>
      <w:tblPr>
        <w:tblStyle w:val="TableGrid"/>
        <w:tblW w:w="9753" w:type="dxa"/>
        <w:tblInd w:w="-147" w:type="dxa"/>
        <w:tblLook w:val="04A0" w:firstRow="1" w:lastRow="0" w:firstColumn="1" w:lastColumn="0" w:noHBand="0" w:noVBand="1"/>
      </w:tblPr>
      <w:tblGrid>
        <w:gridCol w:w="9753"/>
      </w:tblGrid>
      <w:tr w:rsidR="0037199F" w:rsidRPr="007713C1" w14:paraId="614CA6BC" w14:textId="77777777" w:rsidTr="00774ED2">
        <w:tc>
          <w:tcPr>
            <w:tcW w:w="9753" w:type="dxa"/>
          </w:tcPr>
          <w:tbl>
            <w:tblPr>
              <w:tblStyle w:val="TableGrid"/>
              <w:tblW w:w="0" w:type="auto"/>
              <w:tblLook w:val="04A0" w:firstRow="1" w:lastRow="0" w:firstColumn="1" w:lastColumn="0" w:noHBand="0" w:noVBand="1"/>
            </w:tblPr>
            <w:tblGrid>
              <w:gridCol w:w="1787"/>
              <w:gridCol w:w="1191"/>
              <w:gridCol w:w="1225"/>
              <w:gridCol w:w="2647"/>
              <w:gridCol w:w="1192"/>
              <w:gridCol w:w="1225"/>
            </w:tblGrid>
            <w:tr w:rsidR="00C871C6" w:rsidRPr="007713C1" w14:paraId="3A7063C2" w14:textId="77777777" w:rsidTr="008C690B">
              <w:trPr>
                <w:trHeight w:val="809"/>
              </w:trPr>
              <w:tc>
                <w:tcPr>
                  <w:tcW w:w="4203" w:type="dxa"/>
                  <w:gridSpan w:val="3"/>
                  <w:shd w:val="clear" w:color="auto" w:fill="CCECFF"/>
                  <w:vAlign w:val="center"/>
                </w:tcPr>
                <w:p w14:paraId="786E0353" w14:textId="77777777" w:rsidR="00C871C6" w:rsidRPr="007713C1" w:rsidRDefault="00C871C6" w:rsidP="00C871C6">
                  <w:pPr>
                    <w:pStyle w:val="ListParagraph"/>
                    <w:spacing w:before="120" w:after="120"/>
                    <w:ind w:left="0"/>
                    <w:contextualSpacing w:val="0"/>
                    <w:jc w:val="center"/>
                    <w:rPr>
                      <w:b/>
                      <w:sz w:val="24"/>
                      <w:szCs w:val="24"/>
                    </w:rPr>
                  </w:pPr>
                  <w:r w:rsidRPr="007713C1">
                    <w:rPr>
                      <w:b/>
                      <w:sz w:val="24"/>
                      <w:szCs w:val="24"/>
                    </w:rPr>
                    <w:t>ИНДИКАТОРИ ЗА ИЗПЪЛНЕНИЕ</w:t>
                  </w:r>
                </w:p>
              </w:tc>
              <w:tc>
                <w:tcPr>
                  <w:tcW w:w="5064" w:type="dxa"/>
                  <w:gridSpan w:val="3"/>
                  <w:shd w:val="clear" w:color="auto" w:fill="CCECFF"/>
                  <w:vAlign w:val="center"/>
                </w:tcPr>
                <w:p w14:paraId="2F827287" w14:textId="77777777" w:rsidR="00C871C6" w:rsidRPr="007713C1" w:rsidRDefault="00C871C6" w:rsidP="00C871C6">
                  <w:pPr>
                    <w:pStyle w:val="ListParagraph"/>
                    <w:spacing w:before="120" w:after="120"/>
                    <w:ind w:left="0"/>
                    <w:contextualSpacing w:val="0"/>
                    <w:jc w:val="center"/>
                    <w:rPr>
                      <w:b/>
                      <w:sz w:val="24"/>
                      <w:szCs w:val="24"/>
                    </w:rPr>
                  </w:pPr>
                  <w:r w:rsidRPr="007713C1">
                    <w:rPr>
                      <w:b/>
                      <w:sz w:val="24"/>
                      <w:szCs w:val="24"/>
                    </w:rPr>
                    <w:t>ИНДИКАТОРИ ЗА РЕЗУЛТАТ</w:t>
                  </w:r>
                </w:p>
              </w:tc>
            </w:tr>
            <w:tr w:rsidR="00936203" w:rsidRPr="007713C1" w14:paraId="61C06E2F" w14:textId="77777777" w:rsidTr="008C690B">
              <w:trPr>
                <w:trHeight w:val="552"/>
              </w:trPr>
              <w:tc>
                <w:tcPr>
                  <w:tcW w:w="1787" w:type="dxa"/>
                  <w:vAlign w:val="center"/>
                </w:tcPr>
                <w:p w14:paraId="04AFE498" w14:textId="77777777" w:rsidR="00C871C6" w:rsidRPr="007713C1" w:rsidRDefault="00C871C6" w:rsidP="003C3D76">
                  <w:pPr>
                    <w:pStyle w:val="ListParagraph"/>
                    <w:spacing w:before="120" w:after="120"/>
                    <w:ind w:left="0"/>
                    <w:contextualSpacing w:val="0"/>
                    <w:jc w:val="center"/>
                    <w:rPr>
                      <w:b/>
                    </w:rPr>
                  </w:pPr>
                  <w:r w:rsidRPr="007713C1">
                    <w:rPr>
                      <w:b/>
                    </w:rPr>
                    <w:t>Индикатор</w:t>
                  </w:r>
                </w:p>
              </w:tc>
              <w:tc>
                <w:tcPr>
                  <w:tcW w:w="1191" w:type="dxa"/>
                  <w:vAlign w:val="center"/>
                </w:tcPr>
                <w:p w14:paraId="6AE149E6" w14:textId="77777777" w:rsidR="00C871C6" w:rsidRPr="007713C1" w:rsidRDefault="00C871C6" w:rsidP="003C3D76">
                  <w:pPr>
                    <w:pStyle w:val="ListParagraph"/>
                    <w:spacing w:before="120" w:after="120"/>
                    <w:ind w:left="0"/>
                    <w:contextualSpacing w:val="0"/>
                    <w:jc w:val="center"/>
                    <w:rPr>
                      <w:b/>
                    </w:rPr>
                  </w:pPr>
                  <w:r w:rsidRPr="007713C1">
                    <w:rPr>
                      <w:b/>
                    </w:rPr>
                    <w:t>Мерна единица</w:t>
                  </w:r>
                </w:p>
              </w:tc>
              <w:tc>
                <w:tcPr>
                  <w:tcW w:w="1225" w:type="dxa"/>
                  <w:vAlign w:val="center"/>
                </w:tcPr>
                <w:p w14:paraId="5FDCDC9C" w14:textId="77777777" w:rsidR="00C871C6" w:rsidRPr="007713C1" w:rsidRDefault="00C871C6" w:rsidP="003C3D76">
                  <w:pPr>
                    <w:pStyle w:val="ListParagraph"/>
                    <w:spacing w:before="120" w:after="120"/>
                    <w:ind w:left="0"/>
                    <w:contextualSpacing w:val="0"/>
                    <w:jc w:val="center"/>
                    <w:rPr>
                      <w:b/>
                    </w:rPr>
                  </w:pPr>
                  <w:r w:rsidRPr="007713C1">
                    <w:rPr>
                      <w:b/>
                    </w:rPr>
                    <w:t>Целева стойност</w:t>
                  </w:r>
                </w:p>
              </w:tc>
              <w:tc>
                <w:tcPr>
                  <w:tcW w:w="2647" w:type="dxa"/>
                  <w:vAlign w:val="center"/>
                </w:tcPr>
                <w:p w14:paraId="370847C8" w14:textId="77777777" w:rsidR="00C871C6" w:rsidRPr="007713C1" w:rsidRDefault="00C871C6" w:rsidP="003C3D76">
                  <w:pPr>
                    <w:pStyle w:val="ListParagraph"/>
                    <w:spacing w:before="120" w:after="120"/>
                    <w:ind w:left="0"/>
                    <w:contextualSpacing w:val="0"/>
                    <w:jc w:val="center"/>
                    <w:rPr>
                      <w:b/>
                    </w:rPr>
                  </w:pPr>
                  <w:r w:rsidRPr="007713C1">
                    <w:rPr>
                      <w:b/>
                    </w:rPr>
                    <w:t>Индикатор</w:t>
                  </w:r>
                </w:p>
              </w:tc>
              <w:tc>
                <w:tcPr>
                  <w:tcW w:w="1192" w:type="dxa"/>
                  <w:vAlign w:val="center"/>
                </w:tcPr>
                <w:p w14:paraId="53B687D7" w14:textId="77777777" w:rsidR="00C871C6" w:rsidRPr="007713C1" w:rsidRDefault="00C871C6" w:rsidP="003C3D76">
                  <w:pPr>
                    <w:pStyle w:val="ListParagraph"/>
                    <w:spacing w:before="120" w:after="120"/>
                    <w:ind w:left="0"/>
                    <w:contextualSpacing w:val="0"/>
                    <w:jc w:val="center"/>
                    <w:rPr>
                      <w:b/>
                    </w:rPr>
                  </w:pPr>
                  <w:r w:rsidRPr="007713C1">
                    <w:rPr>
                      <w:b/>
                    </w:rPr>
                    <w:t>Мерна единица</w:t>
                  </w:r>
                </w:p>
              </w:tc>
              <w:tc>
                <w:tcPr>
                  <w:tcW w:w="1225" w:type="dxa"/>
                  <w:vAlign w:val="center"/>
                </w:tcPr>
                <w:p w14:paraId="1C862830" w14:textId="77777777" w:rsidR="00C871C6" w:rsidRPr="007713C1" w:rsidRDefault="00C871C6" w:rsidP="003C3D76">
                  <w:pPr>
                    <w:pStyle w:val="ListParagraph"/>
                    <w:spacing w:before="120" w:after="120"/>
                    <w:ind w:left="0"/>
                    <w:contextualSpacing w:val="0"/>
                    <w:jc w:val="center"/>
                    <w:rPr>
                      <w:b/>
                    </w:rPr>
                  </w:pPr>
                  <w:r w:rsidRPr="007713C1">
                    <w:rPr>
                      <w:b/>
                    </w:rPr>
                    <w:t>Целева стойност</w:t>
                  </w:r>
                </w:p>
              </w:tc>
            </w:tr>
            <w:tr w:rsidR="00936203" w:rsidRPr="007713C1" w14:paraId="5F71DACC" w14:textId="77777777" w:rsidTr="008C690B">
              <w:trPr>
                <w:trHeight w:val="1001"/>
              </w:trPr>
              <w:tc>
                <w:tcPr>
                  <w:tcW w:w="1787" w:type="dxa"/>
                  <w:vAlign w:val="center"/>
                </w:tcPr>
                <w:p w14:paraId="2E4FFC7C" w14:textId="77777777" w:rsidR="00C871C6" w:rsidRPr="003C3D76" w:rsidRDefault="00000394" w:rsidP="00267B72">
                  <w:pPr>
                    <w:pStyle w:val="ListParagraph"/>
                    <w:spacing w:after="360"/>
                    <w:ind w:left="0"/>
                    <w:jc w:val="center"/>
                    <w:rPr>
                      <w:b/>
                    </w:rPr>
                  </w:pPr>
                  <w:r w:rsidRPr="00000394">
                    <w:rPr>
                      <w:b/>
                    </w:rPr>
                    <w:t>Финансирани проекти</w:t>
                  </w:r>
                </w:p>
              </w:tc>
              <w:tc>
                <w:tcPr>
                  <w:tcW w:w="1191" w:type="dxa"/>
                  <w:vAlign w:val="center"/>
                </w:tcPr>
                <w:p w14:paraId="4D95DABE" w14:textId="77777777" w:rsidR="00C871C6" w:rsidRPr="007713C1" w:rsidRDefault="003C3D76" w:rsidP="003C3D76">
                  <w:pPr>
                    <w:pStyle w:val="ListParagraph"/>
                    <w:spacing w:after="360"/>
                    <w:ind w:left="0"/>
                    <w:jc w:val="center"/>
                    <w:rPr>
                      <w:b/>
                      <w:sz w:val="24"/>
                      <w:szCs w:val="24"/>
                    </w:rPr>
                  </w:pPr>
                  <w:r w:rsidRPr="003C3D76">
                    <w:rPr>
                      <w:b/>
                    </w:rPr>
                    <w:t>Брой</w:t>
                  </w:r>
                </w:p>
              </w:tc>
              <w:tc>
                <w:tcPr>
                  <w:tcW w:w="1225" w:type="dxa"/>
                  <w:vAlign w:val="center"/>
                </w:tcPr>
                <w:p w14:paraId="08F57F9F" w14:textId="1D6FF6F1" w:rsidR="00C871C6" w:rsidRPr="003C3D76" w:rsidRDefault="002D18A2" w:rsidP="00000394">
                  <w:pPr>
                    <w:pStyle w:val="ListParagraph"/>
                    <w:spacing w:after="360"/>
                    <w:ind w:left="0"/>
                    <w:jc w:val="center"/>
                    <w:rPr>
                      <w:b/>
                    </w:rPr>
                  </w:pPr>
                  <w:r>
                    <w:rPr>
                      <w:b/>
                    </w:rPr>
                    <w:t>5</w:t>
                  </w:r>
                </w:p>
              </w:tc>
              <w:tc>
                <w:tcPr>
                  <w:tcW w:w="2647" w:type="dxa"/>
                  <w:vAlign w:val="center"/>
                </w:tcPr>
                <w:p w14:paraId="4D2DAD02" w14:textId="432D4F96" w:rsidR="00C871C6" w:rsidRPr="00936203" w:rsidRDefault="00936203" w:rsidP="00B01E96">
                  <w:pPr>
                    <w:spacing w:after="360"/>
                    <w:jc w:val="center"/>
                    <w:rPr>
                      <w:b/>
                    </w:rPr>
                  </w:pPr>
                  <w:r w:rsidRPr="00936203">
                    <w:rPr>
                      <w:b/>
                    </w:rPr>
                    <w:t>Предприятия/стопанства,</w:t>
                  </w:r>
                  <w:r>
                    <w:rPr>
                      <w:b/>
                    </w:rPr>
                    <w:t xml:space="preserve"> </w:t>
                  </w:r>
                  <w:r w:rsidRPr="00936203">
                    <w:rPr>
                      <w:b/>
                    </w:rPr>
                    <w:t>внедрили нови и/или</w:t>
                  </w:r>
                  <w:r>
                    <w:rPr>
                      <w:b/>
                    </w:rPr>
                    <w:t xml:space="preserve"> модернизирали</w:t>
                  </w:r>
                  <w:r w:rsidRPr="00936203">
                    <w:rPr>
                      <w:b/>
                    </w:rPr>
                    <w:t>/наличните мощности</w:t>
                  </w:r>
                </w:p>
              </w:tc>
              <w:tc>
                <w:tcPr>
                  <w:tcW w:w="1192" w:type="dxa"/>
                  <w:vAlign w:val="center"/>
                </w:tcPr>
                <w:p w14:paraId="6C53130B" w14:textId="3DB5B5A0" w:rsidR="00C871C6" w:rsidRPr="003C3D76" w:rsidRDefault="00936203" w:rsidP="00076BB2">
                  <w:pPr>
                    <w:pStyle w:val="ListParagraph"/>
                    <w:spacing w:after="360"/>
                    <w:ind w:left="0"/>
                    <w:jc w:val="center"/>
                    <w:rPr>
                      <w:b/>
                    </w:rPr>
                  </w:pPr>
                  <w:r>
                    <w:rPr>
                      <w:b/>
                    </w:rPr>
                    <w:t>Брой</w:t>
                  </w:r>
                </w:p>
              </w:tc>
              <w:tc>
                <w:tcPr>
                  <w:tcW w:w="1225" w:type="dxa"/>
                  <w:vAlign w:val="center"/>
                </w:tcPr>
                <w:p w14:paraId="4A0E8DB9" w14:textId="77777777" w:rsidR="00076BB2" w:rsidRDefault="00076BB2" w:rsidP="00076BB2">
                  <w:pPr>
                    <w:pStyle w:val="ListParagraph"/>
                    <w:spacing w:after="360"/>
                    <w:ind w:left="0"/>
                    <w:jc w:val="center"/>
                    <w:rPr>
                      <w:b/>
                    </w:rPr>
                  </w:pPr>
                </w:p>
                <w:p w14:paraId="2B5FCE72" w14:textId="77777777" w:rsidR="00076BB2" w:rsidRDefault="00076BB2" w:rsidP="00076BB2">
                  <w:pPr>
                    <w:pStyle w:val="ListParagraph"/>
                    <w:spacing w:after="360"/>
                    <w:ind w:left="0"/>
                    <w:jc w:val="center"/>
                    <w:rPr>
                      <w:b/>
                    </w:rPr>
                  </w:pPr>
                </w:p>
                <w:p w14:paraId="157FB5E5" w14:textId="5827BB3B" w:rsidR="00076BB2" w:rsidRPr="003C3D76" w:rsidRDefault="00936203" w:rsidP="00076BB2">
                  <w:pPr>
                    <w:pStyle w:val="ListParagraph"/>
                    <w:spacing w:after="360"/>
                    <w:ind w:left="0"/>
                    <w:jc w:val="center"/>
                    <w:rPr>
                      <w:b/>
                    </w:rPr>
                  </w:pPr>
                  <w:r>
                    <w:rPr>
                      <w:b/>
                    </w:rPr>
                    <w:t>5</w:t>
                  </w:r>
                </w:p>
              </w:tc>
            </w:tr>
            <w:tr w:rsidR="00936203" w:rsidRPr="007713C1" w14:paraId="3209A5C0" w14:textId="77777777" w:rsidTr="008C690B">
              <w:trPr>
                <w:trHeight w:val="785"/>
              </w:trPr>
              <w:tc>
                <w:tcPr>
                  <w:tcW w:w="1787" w:type="dxa"/>
                  <w:vAlign w:val="center"/>
                </w:tcPr>
                <w:p w14:paraId="2DE39E53" w14:textId="6B6133BF" w:rsidR="00C871C6" w:rsidRPr="00076BB2" w:rsidRDefault="002D18A2" w:rsidP="00111F7B">
                  <w:pPr>
                    <w:jc w:val="center"/>
                    <w:rPr>
                      <w:b/>
                    </w:rPr>
                  </w:pPr>
                  <w:r>
                    <w:rPr>
                      <w:b/>
                    </w:rPr>
                    <w:t xml:space="preserve">Подпомогнати </w:t>
                  </w:r>
                  <w:r w:rsidR="00C5434D">
                    <w:rPr>
                      <w:b/>
                    </w:rPr>
                    <w:t>Б</w:t>
                  </w:r>
                  <w:r w:rsidR="00000394" w:rsidRPr="00000394">
                    <w:rPr>
                      <w:b/>
                    </w:rPr>
                    <w:t>енефициенти</w:t>
                  </w:r>
                </w:p>
              </w:tc>
              <w:tc>
                <w:tcPr>
                  <w:tcW w:w="1191" w:type="dxa"/>
                  <w:vAlign w:val="center"/>
                </w:tcPr>
                <w:p w14:paraId="103DA44E" w14:textId="77777777" w:rsidR="00C871C6" w:rsidRPr="00111F7B" w:rsidRDefault="00076BB2" w:rsidP="00111F7B">
                  <w:pPr>
                    <w:jc w:val="center"/>
                    <w:rPr>
                      <w:b/>
                    </w:rPr>
                  </w:pPr>
                  <w:r w:rsidRPr="00111F7B">
                    <w:rPr>
                      <w:b/>
                    </w:rPr>
                    <w:t>Брой</w:t>
                  </w:r>
                </w:p>
              </w:tc>
              <w:tc>
                <w:tcPr>
                  <w:tcW w:w="1225" w:type="dxa"/>
                  <w:vAlign w:val="center"/>
                </w:tcPr>
                <w:p w14:paraId="27D5091F" w14:textId="4167B38F" w:rsidR="00C871C6" w:rsidRPr="00111F7B" w:rsidRDefault="002D18A2" w:rsidP="00111F7B">
                  <w:pPr>
                    <w:jc w:val="center"/>
                    <w:rPr>
                      <w:b/>
                    </w:rPr>
                  </w:pPr>
                  <w:r>
                    <w:rPr>
                      <w:b/>
                    </w:rPr>
                    <w:t>5</w:t>
                  </w:r>
                </w:p>
              </w:tc>
              <w:tc>
                <w:tcPr>
                  <w:tcW w:w="2647" w:type="dxa"/>
                  <w:vAlign w:val="center"/>
                </w:tcPr>
                <w:p w14:paraId="32CBBA5C" w14:textId="38BC15D3" w:rsidR="00C871C6" w:rsidRPr="00111F7B" w:rsidRDefault="00C76DF9" w:rsidP="00111F7B">
                  <w:pPr>
                    <w:jc w:val="center"/>
                    <w:rPr>
                      <w:b/>
                    </w:rPr>
                  </w:pPr>
                  <w:r w:rsidRPr="00C76DF9">
                    <w:rPr>
                      <w:b/>
                    </w:rPr>
                    <w:t>Предприятия/стопанства, въвели мерки за енергийна</w:t>
                  </w:r>
                  <w:r>
                    <w:rPr>
                      <w:b/>
                    </w:rPr>
                    <w:t xml:space="preserve"> ефективност</w:t>
                  </w:r>
                </w:p>
              </w:tc>
              <w:tc>
                <w:tcPr>
                  <w:tcW w:w="1192" w:type="dxa"/>
                  <w:vAlign w:val="center"/>
                </w:tcPr>
                <w:p w14:paraId="4CB93BEE" w14:textId="77777777" w:rsidR="00C871C6" w:rsidRPr="00111F7B" w:rsidRDefault="00076BB2" w:rsidP="00111F7B">
                  <w:pPr>
                    <w:jc w:val="center"/>
                    <w:rPr>
                      <w:b/>
                    </w:rPr>
                  </w:pPr>
                  <w:r w:rsidRPr="00111F7B">
                    <w:rPr>
                      <w:b/>
                    </w:rPr>
                    <w:t>Брой</w:t>
                  </w:r>
                </w:p>
              </w:tc>
              <w:tc>
                <w:tcPr>
                  <w:tcW w:w="1225" w:type="dxa"/>
                  <w:vAlign w:val="center"/>
                </w:tcPr>
                <w:p w14:paraId="793CF180" w14:textId="22F7AE78" w:rsidR="00C871C6" w:rsidRPr="00111F7B" w:rsidRDefault="00C76DF9" w:rsidP="00111F7B">
                  <w:pPr>
                    <w:jc w:val="center"/>
                    <w:rPr>
                      <w:b/>
                    </w:rPr>
                  </w:pPr>
                  <w:r>
                    <w:rPr>
                      <w:b/>
                    </w:rPr>
                    <w:t>2</w:t>
                  </w:r>
                </w:p>
              </w:tc>
            </w:tr>
            <w:tr w:rsidR="00936203" w:rsidRPr="007713C1" w14:paraId="30E1B503" w14:textId="77777777" w:rsidTr="008C690B">
              <w:tc>
                <w:tcPr>
                  <w:tcW w:w="1787" w:type="dxa"/>
                  <w:vAlign w:val="center"/>
                </w:tcPr>
                <w:p w14:paraId="3728801B" w14:textId="77777777" w:rsidR="00000394" w:rsidRDefault="00000394" w:rsidP="00267B72">
                  <w:pPr>
                    <w:pStyle w:val="ListParagraph"/>
                    <w:spacing w:after="360"/>
                    <w:ind w:left="0"/>
                    <w:jc w:val="center"/>
                    <w:rPr>
                      <w:b/>
                    </w:rPr>
                  </w:pPr>
                  <w:r w:rsidRPr="00000394">
                    <w:rPr>
                      <w:b/>
                    </w:rPr>
                    <w:lastRenderedPageBreak/>
                    <w:t>Общ обем на публичните разходи</w:t>
                  </w:r>
                </w:p>
              </w:tc>
              <w:tc>
                <w:tcPr>
                  <w:tcW w:w="1191" w:type="dxa"/>
                  <w:vAlign w:val="center"/>
                </w:tcPr>
                <w:p w14:paraId="27C75EFB" w14:textId="77777777" w:rsidR="00000394" w:rsidRDefault="00000394" w:rsidP="00076BB2">
                  <w:pPr>
                    <w:pStyle w:val="ListParagraph"/>
                    <w:spacing w:after="360"/>
                    <w:ind w:left="0"/>
                    <w:jc w:val="center"/>
                    <w:rPr>
                      <w:b/>
                    </w:rPr>
                  </w:pPr>
                  <w:r>
                    <w:rPr>
                      <w:b/>
                    </w:rPr>
                    <w:t>Лева</w:t>
                  </w:r>
                </w:p>
              </w:tc>
              <w:tc>
                <w:tcPr>
                  <w:tcW w:w="1225" w:type="dxa"/>
                  <w:vAlign w:val="center"/>
                </w:tcPr>
                <w:p w14:paraId="26938E7D" w14:textId="00D2EE8E" w:rsidR="00000394" w:rsidRDefault="002D18A2" w:rsidP="00076BB2">
                  <w:pPr>
                    <w:pStyle w:val="ListParagraph"/>
                    <w:spacing w:after="360"/>
                    <w:ind w:left="0"/>
                    <w:jc w:val="center"/>
                    <w:rPr>
                      <w:b/>
                    </w:rPr>
                  </w:pPr>
                  <w:r>
                    <w:rPr>
                      <w:b/>
                    </w:rPr>
                    <w:t>450</w:t>
                  </w:r>
                  <w:r w:rsidR="00000394">
                    <w:rPr>
                      <w:b/>
                    </w:rPr>
                    <w:t xml:space="preserve"> 000</w:t>
                  </w:r>
                </w:p>
              </w:tc>
              <w:tc>
                <w:tcPr>
                  <w:tcW w:w="2647" w:type="dxa"/>
                  <w:vAlign w:val="center"/>
                </w:tcPr>
                <w:p w14:paraId="05CE19F2" w14:textId="3D19341B" w:rsidR="00000394" w:rsidRDefault="00C76DF9" w:rsidP="00267B72">
                  <w:pPr>
                    <w:pStyle w:val="ListParagraph"/>
                    <w:spacing w:after="360"/>
                    <w:ind w:left="0"/>
                    <w:jc w:val="center"/>
                    <w:rPr>
                      <w:b/>
                    </w:rPr>
                  </w:pPr>
                  <w:r w:rsidRPr="00C76DF9">
                    <w:rPr>
                      <w:b/>
                    </w:rPr>
                    <w:t>Предприятия/стопанства, въвели нов продукт, процес или технология</w:t>
                  </w:r>
                </w:p>
              </w:tc>
              <w:tc>
                <w:tcPr>
                  <w:tcW w:w="1192" w:type="dxa"/>
                  <w:vAlign w:val="center"/>
                </w:tcPr>
                <w:p w14:paraId="4EC605CC" w14:textId="518621B6" w:rsidR="00000394" w:rsidRDefault="00C76DF9" w:rsidP="00076BB2">
                  <w:pPr>
                    <w:pStyle w:val="ListParagraph"/>
                    <w:spacing w:after="360"/>
                    <w:ind w:left="0"/>
                    <w:jc w:val="center"/>
                    <w:rPr>
                      <w:b/>
                    </w:rPr>
                  </w:pPr>
                  <w:r>
                    <w:rPr>
                      <w:b/>
                    </w:rPr>
                    <w:t>Брой</w:t>
                  </w:r>
                </w:p>
              </w:tc>
              <w:tc>
                <w:tcPr>
                  <w:tcW w:w="1225" w:type="dxa"/>
                  <w:vAlign w:val="bottom"/>
                </w:tcPr>
                <w:p w14:paraId="1DD93562" w14:textId="21C81949" w:rsidR="00000394" w:rsidRDefault="00C76DF9" w:rsidP="00A73609">
                  <w:pPr>
                    <w:pStyle w:val="ListParagraph"/>
                    <w:spacing w:after="360"/>
                    <w:ind w:left="0"/>
                    <w:jc w:val="center"/>
                    <w:rPr>
                      <w:b/>
                    </w:rPr>
                  </w:pPr>
                  <w:r>
                    <w:rPr>
                      <w:b/>
                    </w:rPr>
                    <w:t>1</w:t>
                  </w:r>
                </w:p>
              </w:tc>
            </w:tr>
            <w:tr w:rsidR="00936203" w:rsidRPr="007713C1" w14:paraId="06841814" w14:textId="77777777" w:rsidTr="008C690B">
              <w:trPr>
                <w:trHeight w:val="571"/>
              </w:trPr>
              <w:tc>
                <w:tcPr>
                  <w:tcW w:w="1787" w:type="dxa"/>
                  <w:vAlign w:val="center"/>
                </w:tcPr>
                <w:p w14:paraId="5DEA07B5" w14:textId="77777777" w:rsidR="00076BB2" w:rsidRPr="00A73609" w:rsidRDefault="00076BB2" w:rsidP="00A73609">
                  <w:pPr>
                    <w:jc w:val="center"/>
                    <w:rPr>
                      <w:b/>
                    </w:rPr>
                  </w:pPr>
                  <w:r w:rsidRPr="00A73609">
                    <w:rPr>
                      <w:b/>
                    </w:rPr>
                    <w:t>Общ обем на инвестициите</w:t>
                  </w:r>
                </w:p>
              </w:tc>
              <w:tc>
                <w:tcPr>
                  <w:tcW w:w="1191" w:type="dxa"/>
                  <w:vAlign w:val="center"/>
                </w:tcPr>
                <w:p w14:paraId="76369FDD" w14:textId="77777777" w:rsidR="00076BB2" w:rsidRDefault="00076BB2" w:rsidP="00A73609">
                  <w:pPr>
                    <w:jc w:val="center"/>
                  </w:pPr>
                  <w:r w:rsidRPr="00A73609">
                    <w:rPr>
                      <w:b/>
                    </w:rPr>
                    <w:t>Лева</w:t>
                  </w:r>
                </w:p>
              </w:tc>
              <w:tc>
                <w:tcPr>
                  <w:tcW w:w="1225" w:type="dxa"/>
                  <w:vAlign w:val="center"/>
                </w:tcPr>
                <w:p w14:paraId="289FDDD1" w14:textId="71E57107" w:rsidR="00076BB2" w:rsidRPr="00A73609" w:rsidRDefault="002D18A2" w:rsidP="00A73609">
                  <w:pPr>
                    <w:jc w:val="center"/>
                    <w:rPr>
                      <w:b/>
                    </w:rPr>
                  </w:pPr>
                  <w:r>
                    <w:rPr>
                      <w:b/>
                    </w:rPr>
                    <w:t>800</w:t>
                  </w:r>
                  <w:r w:rsidR="00076BB2" w:rsidRPr="00A73609">
                    <w:rPr>
                      <w:b/>
                    </w:rPr>
                    <w:t xml:space="preserve"> 000</w:t>
                  </w:r>
                </w:p>
              </w:tc>
              <w:tc>
                <w:tcPr>
                  <w:tcW w:w="2647" w:type="dxa"/>
                  <w:vAlign w:val="center"/>
                </w:tcPr>
                <w:p w14:paraId="180D7092" w14:textId="17B8B66A" w:rsidR="00076BB2" w:rsidRPr="00A73609" w:rsidRDefault="00C76DF9" w:rsidP="00A73609">
                  <w:pPr>
                    <w:jc w:val="center"/>
                    <w:rPr>
                      <w:b/>
                    </w:rPr>
                  </w:pPr>
                  <w:r w:rsidRPr="00C76DF9">
                    <w:rPr>
                      <w:b/>
                    </w:rPr>
                    <w:t>Създадени работни места</w:t>
                  </w:r>
                </w:p>
              </w:tc>
              <w:tc>
                <w:tcPr>
                  <w:tcW w:w="1192" w:type="dxa"/>
                  <w:vAlign w:val="center"/>
                </w:tcPr>
                <w:p w14:paraId="56A45C1E" w14:textId="33AF1137" w:rsidR="00076BB2" w:rsidRPr="00C76DF9" w:rsidRDefault="00C76DF9" w:rsidP="00A73609">
                  <w:pPr>
                    <w:jc w:val="center"/>
                    <w:rPr>
                      <w:b/>
                    </w:rPr>
                  </w:pPr>
                  <w:r w:rsidRPr="00C76DF9">
                    <w:rPr>
                      <w:b/>
                    </w:rPr>
                    <w:t>Брой</w:t>
                  </w:r>
                </w:p>
              </w:tc>
              <w:tc>
                <w:tcPr>
                  <w:tcW w:w="1225" w:type="dxa"/>
                  <w:vAlign w:val="center"/>
                </w:tcPr>
                <w:p w14:paraId="7A6EC4E2" w14:textId="7ED7B105" w:rsidR="00076BB2" w:rsidRPr="00A73609" w:rsidRDefault="00C76DF9" w:rsidP="00A73609">
                  <w:pPr>
                    <w:jc w:val="center"/>
                    <w:rPr>
                      <w:b/>
                    </w:rPr>
                  </w:pPr>
                  <w:r>
                    <w:rPr>
                      <w:b/>
                    </w:rPr>
                    <w:t>4</w:t>
                  </w:r>
                </w:p>
              </w:tc>
            </w:tr>
          </w:tbl>
          <w:p w14:paraId="1FEAF748" w14:textId="77777777" w:rsidR="00BB5669" w:rsidRDefault="00BB5669" w:rsidP="00FB2902">
            <w:pPr>
              <w:jc w:val="both"/>
            </w:pPr>
          </w:p>
          <w:p w14:paraId="0C1F7EBD" w14:textId="77777777" w:rsidR="001C6B52" w:rsidRDefault="001C6B52" w:rsidP="001C6B52">
            <w:pPr>
              <w:jc w:val="both"/>
            </w:pPr>
          </w:p>
          <w:p w14:paraId="2F4DD893" w14:textId="77777777" w:rsidR="001C6B52" w:rsidRPr="001C6B52" w:rsidRDefault="001C6B52" w:rsidP="001C6B52">
            <w:pPr>
              <w:jc w:val="both"/>
              <w:rPr>
                <w:sz w:val="24"/>
                <w:szCs w:val="24"/>
              </w:rPr>
            </w:pPr>
            <w:r w:rsidRPr="001C6B52">
              <w:rPr>
                <w:sz w:val="24"/>
                <w:szCs w:val="24"/>
              </w:rPr>
              <w:t>Кандидатите следва да попълнят в раздел „Индикатори“ на електронния формуляр по процедурата в ИСУН2020 данни за целева стойност по приложимите индикатори за резултат в съответствие с проектните дейности. В случай, че някой от посочените индикатори не е приложим, във Формуляра за кандидатстване в Индикатора се попълва стойност „0“, например:</w:t>
            </w:r>
          </w:p>
          <w:p w14:paraId="587A56EB" w14:textId="77777777" w:rsidR="001C6B52" w:rsidRPr="001C6B52" w:rsidRDefault="001C6B52" w:rsidP="001C6B52">
            <w:pPr>
              <w:jc w:val="both"/>
              <w:rPr>
                <w:sz w:val="24"/>
                <w:szCs w:val="24"/>
              </w:rPr>
            </w:pPr>
          </w:p>
          <w:p w14:paraId="68655534" w14:textId="77777777" w:rsidR="001C6B52" w:rsidRDefault="001C6B52" w:rsidP="001C6B52">
            <w:pPr>
              <w:jc w:val="both"/>
              <w:rPr>
                <w:sz w:val="24"/>
                <w:szCs w:val="24"/>
              </w:rPr>
            </w:pPr>
            <w:r w:rsidRPr="001C6B52">
              <w:rPr>
                <w:sz w:val="24"/>
                <w:szCs w:val="24"/>
              </w:rPr>
              <w:t>-</w:t>
            </w:r>
            <w:r w:rsidRPr="001C6B52">
              <w:rPr>
                <w:sz w:val="24"/>
                <w:szCs w:val="24"/>
              </w:rPr>
              <w:tab/>
              <w:t xml:space="preserve">Индикатор „Създадени работни места“ се попълва от кандидата в случай, че чрез проектното предложение се създават работни места (в резултат от изпълнението му), като се попълва техния брой. В случай, че не се създават работни места, във Формуляра за кандидатстване в Индикатора се попълва стойност „0“. </w:t>
            </w:r>
          </w:p>
          <w:p w14:paraId="06C87324" w14:textId="77777777" w:rsidR="00763D94" w:rsidRPr="001C6B52" w:rsidRDefault="00763D94" w:rsidP="001C6B52">
            <w:pPr>
              <w:jc w:val="both"/>
              <w:rPr>
                <w:sz w:val="24"/>
                <w:szCs w:val="24"/>
              </w:rPr>
            </w:pPr>
          </w:p>
          <w:p w14:paraId="141D5987" w14:textId="128291F2" w:rsidR="00E603D2" w:rsidRPr="001C6B52" w:rsidRDefault="001C6B52" w:rsidP="001C6B52">
            <w:pPr>
              <w:jc w:val="both"/>
              <w:rPr>
                <w:sz w:val="24"/>
                <w:szCs w:val="24"/>
              </w:rPr>
            </w:pPr>
            <w:r w:rsidRPr="001C6B52">
              <w:rPr>
                <w:sz w:val="24"/>
                <w:szCs w:val="24"/>
              </w:rPr>
              <w:t xml:space="preserve">Проектното предложение трябва да има принос към постигането на поне един от посочените индикатори.  </w:t>
            </w:r>
          </w:p>
          <w:p w14:paraId="4E6A5BB2" w14:textId="78E0B128" w:rsidR="00E603D2" w:rsidRPr="007F634C" w:rsidRDefault="00E603D2" w:rsidP="00FB2902">
            <w:pPr>
              <w:jc w:val="both"/>
            </w:pPr>
          </w:p>
        </w:tc>
      </w:tr>
    </w:tbl>
    <w:p w14:paraId="54A569CA" w14:textId="77777777" w:rsidR="00F26975" w:rsidRDefault="00A8656C" w:rsidP="007570DC">
      <w:pPr>
        <w:pStyle w:val="Heading1"/>
        <w:rPr>
          <w:color w:val="4472C4" w:themeColor="accent5"/>
        </w:rPr>
      </w:pPr>
      <w:bookmarkStart w:id="15" w:name="_Toc445385573"/>
      <w:bookmarkStart w:id="16" w:name="_Toc535495180"/>
      <w:r w:rsidRPr="007713C1">
        <w:lastRenderedPageBreak/>
        <w:t>8</w:t>
      </w:r>
      <w:r w:rsidRPr="001C7A55">
        <w:rPr>
          <w:color w:val="4472C4" w:themeColor="accent5"/>
        </w:rPr>
        <w:t>. Общ размер на безвъзмездната финансова помощ по процедурата:</w:t>
      </w:r>
      <w:bookmarkEnd w:id="15"/>
      <w:bookmarkEnd w:id="16"/>
    </w:p>
    <w:tbl>
      <w:tblPr>
        <w:tblStyle w:val="TableGrid1"/>
        <w:tblW w:w="9719" w:type="dxa"/>
        <w:tblInd w:w="-113" w:type="dxa"/>
        <w:tblLook w:val="04A0" w:firstRow="1" w:lastRow="0" w:firstColumn="1" w:lastColumn="0" w:noHBand="0" w:noVBand="1"/>
      </w:tblPr>
      <w:tblGrid>
        <w:gridCol w:w="9719"/>
      </w:tblGrid>
      <w:tr w:rsidR="008C690B" w14:paraId="7484C14E" w14:textId="77777777" w:rsidTr="00774ED2">
        <w:tc>
          <w:tcPr>
            <w:tcW w:w="9719" w:type="dxa"/>
            <w:shd w:val="clear" w:color="auto" w:fill="auto"/>
          </w:tcPr>
          <w:p w14:paraId="7F99047C" w14:textId="77777777" w:rsidR="008C690B" w:rsidRDefault="008C690B" w:rsidP="00305DDB"/>
          <w:p w14:paraId="2C4DFB64" w14:textId="054FFCAC" w:rsidR="008C690B" w:rsidRDefault="008C690B" w:rsidP="00305DDB">
            <w:pPr>
              <w:jc w:val="both"/>
              <w:rPr>
                <w:rFonts w:ascii="Times New Roman" w:hAnsi="Times New Roman" w:cs="Times New Roman"/>
                <w:sz w:val="24"/>
                <w:szCs w:val="24"/>
              </w:rPr>
            </w:pPr>
            <w:r w:rsidRPr="00F4347A">
              <w:rPr>
                <w:rFonts w:ascii="Times New Roman" w:hAnsi="Times New Roman" w:cs="Times New Roman"/>
                <w:sz w:val="24"/>
                <w:szCs w:val="24"/>
              </w:rPr>
              <w:t xml:space="preserve">Общият размер на </w:t>
            </w:r>
            <w:r>
              <w:rPr>
                <w:rFonts w:ascii="Times New Roman" w:hAnsi="Times New Roman" w:cs="Times New Roman"/>
                <w:sz w:val="24"/>
                <w:szCs w:val="24"/>
              </w:rPr>
              <w:t>безвъзмездната финансова помощ</w:t>
            </w:r>
            <w:r w:rsidRPr="00F4347A">
              <w:rPr>
                <w:rFonts w:ascii="Times New Roman" w:hAnsi="Times New Roman" w:cs="Times New Roman"/>
                <w:sz w:val="24"/>
                <w:szCs w:val="24"/>
              </w:rPr>
              <w:t xml:space="preserve"> по </w:t>
            </w:r>
            <w:r>
              <w:rPr>
                <w:rFonts w:ascii="Times New Roman" w:hAnsi="Times New Roman" w:cs="Times New Roman"/>
                <w:sz w:val="24"/>
                <w:szCs w:val="24"/>
              </w:rPr>
              <w:t>процедурата чрез подбор  на</w:t>
            </w:r>
            <w:r w:rsidR="00CE6713">
              <w:rPr>
                <w:rFonts w:ascii="Times New Roman" w:hAnsi="Times New Roman" w:cs="Times New Roman"/>
                <w:sz w:val="24"/>
                <w:szCs w:val="24"/>
              </w:rPr>
              <w:t xml:space="preserve"> проектни предложения по мярка 2</w:t>
            </w:r>
            <w:r>
              <w:rPr>
                <w:rFonts w:ascii="Times New Roman" w:hAnsi="Times New Roman" w:cs="Times New Roman"/>
                <w:sz w:val="24"/>
                <w:szCs w:val="24"/>
              </w:rPr>
              <w:t xml:space="preserve"> „</w:t>
            </w:r>
            <w:r w:rsidRPr="001C7383">
              <w:rPr>
                <w:rFonts w:ascii="Times New Roman" w:hAnsi="Times New Roman" w:cs="Times New Roman"/>
                <w:sz w:val="24"/>
                <w:szCs w:val="24"/>
              </w:rPr>
              <w:t xml:space="preserve">Инвестиции в </w:t>
            </w:r>
            <w:r w:rsidR="00CE6713">
              <w:rPr>
                <w:rFonts w:ascii="Times New Roman" w:hAnsi="Times New Roman" w:cs="Times New Roman"/>
                <w:sz w:val="24"/>
                <w:szCs w:val="24"/>
              </w:rPr>
              <w:t>преработка/маркетинг на селскостопански продукти</w:t>
            </w:r>
            <w:r>
              <w:rPr>
                <w:rFonts w:ascii="Times New Roman" w:hAnsi="Times New Roman" w:cs="Times New Roman"/>
                <w:sz w:val="24"/>
                <w:szCs w:val="24"/>
              </w:rPr>
              <w:t>“</w:t>
            </w:r>
            <w:r w:rsidRPr="001C7383">
              <w:rPr>
                <w:rFonts w:ascii="Times New Roman" w:hAnsi="Times New Roman" w:cs="Times New Roman"/>
                <w:sz w:val="24"/>
                <w:szCs w:val="24"/>
              </w:rPr>
              <w:t xml:space="preserve"> </w:t>
            </w:r>
            <w:r>
              <w:rPr>
                <w:rFonts w:ascii="Times New Roman" w:hAnsi="Times New Roman" w:cs="Times New Roman"/>
                <w:sz w:val="24"/>
                <w:szCs w:val="24"/>
              </w:rPr>
              <w:t xml:space="preserve">е в размер </w:t>
            </w:r>
            <w:r w:rsidR="001407B1">
              <w:rPr>
                <w:rFonts w:ascii="Times New Roman" w:hAnsi="Times New Roman" w:cs="Times New Roman"/>
                <w:sz w:val="24"/>
                <w:szCs w:val="24"/>
              </w:rPr>
              <w:t xml:space="preserve">на левовата равностойност на </w:t>
            </w:r>
            <w:r w:rsidR="00670CDB" w:rsidRPr="00670CDB">
              <w:rPr>
                <w:rFonts w:ascii="Times New Roman" w:hAnsi="Times New Roman" w:cs="Times New Roman"/>
                <w:sz w:val="24"/>
                <w:szCs w:val="24"/>
              </w:rPr>
              <w:t>250 240,07</w:t>
            </w:r>
            <w:r w:rsidR="00670CDB">
              <w:rPr>
                <w:rFonts w:ascii="Times New Roman" w:hAnsi="Times New Roman" w:cs="Times New Roman"/>
                <w:sz w:val="24"/>
                <w:szCs w:val="24"/>
              </w:rPr>
              <w:t xml:space="preserve"> </w:t>
            </w:r>
            <w:r>
              <w:rPr>
                <w:rFonts w:ascii="Times New Roman" w:hAnsi="Times New Roman" w:cs="Times New Roman"/>
                <w:sz w:val="24"/>
                <w:szCs w:val="24"/>
              </w:rPr>
              <w:t>лв.</w:t>
            </w:r>
          </w:p>
          <w:p w14:paraId="5C4F97F0" w14:textId="77777777" w:rsidR="008C690B" w:rsidRPr="00714C9B" w:rsidRDefault="008C690B" w:rsidP="00774ED2"/>
        </w:tc>
      </w:tr>
    </w:tbl>
    <w:p w14:paraId="3062FBC8" w14:textId="77777777" w:rsidR="00A8656C" w:rsidRPr="007713C1" w:rsidRDefault="00404799" w:rsidP="007570DC">
      <w:pPr>
        <w:pStyle w:val="Heading1"/>
      </w:pPr>
      <w:bookmarkStart w:id="17" w:name="_Toc445385574"/>
      <w:bookmarkStart w:id="18" w:name="_Toc535495181"/>
      <w:r w:rsidRPr="007713C1">
        <w:t>9. Минимален и максимален размер на безвъзмездната финансова помощ за конкретен проект:</w:t>
      </w:r>
      <w:bookmarkEnd w:id="17"/>
      <w:bookmarkEnd w:id="18"/>
    </w:p>
    <w:p w14:paraId="6061F0A2" w14:textId="77777777" w:rsidR="00BA2E00" w:rsidRPr="007713C1" w:rsidRDefault="00404799" w:rsidP="00E93FF3">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sz w:val="24"/>
          <w:szCs w:val="24"/>
        </w:rPr>
      </w:pPr>
      <w:r w:rsidRPr="007713C1">
        <w:rPr>
          <w:rFonts w:ascii="Times New Roman" w:hAnsi="Times New Roman" w:cs="Times New Roman"/>
          <w:sz w:val="24"/>
          <w:szCs w:val="24"/>
        </w:rPr>
        <w:t xml:space="preserve">Всеки кандидат може да кандидатства за безвъзмездна финансова помощ като изготвеният от него проект, трябва да се вмества в следните минимални и максимални граници:  </w:t>
      </w:r>
    </w:p>
    <w:p w14:paraId="285973E9" w14:textId="77777777" w:rsidR="00404799" w:rsidRPr="007713C1" w:rsidRDefault="00404799" w:rsidP="00E93FF3">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sz w:val="24"/>
          <w:szCs w:val="24"/>
        </w:rPr>
      </w:pPr>
    </w:p>
    <w:p w14:paraId="0AC06B31" w14:textId="11C89EF8" w:rsidR="00404799" w:rsidRPr="007713C1" w:rsidRDefault="00404799" w:rsidP="00E93FF3">
      <w:pPr>
        <w:pStyle w:val="ListParagraph"/>
        <w:numPr>
          <w:ilvl w:val="0"/>
          <w:numId w:val="1"/>
        </w:numPr>
        <w:pBdr>
          <w:top w:val="single" w:sz="4" w:space="1" w:color="auto"/>
          <w:left w:val="single" w:sz="4" w:space="4" w:color="auto"/>
          <w:bottom w:val="single" w:sz="4" w:space="1" w:color="auto"/>
          <w:right w:val="single" w:sz="4" w:space="4" w:color="auto"/>
        </w:pBdr>
        <w:spacing w:after="360"/>
        <w:rPr>
          <w:rFonts w:ascii="Times New Roman" w:hAnsi="Times New Roman" w:cs="Times New Roman"/>
          <w:b/>
          <w:sz w:val="24"/>
          <w:szCs w:val="24"/>
        </w:rPr>
      </w:pPr>
      <w:r w:rsidRPr="007713C1">
        <w:rPr>
          <w:rFonts w:ascii="Times New Roman" w:hAnsi="Times New Roman" w:cs="Times New Roman"/>
          <w:b/>
          <w:sz w:val="24"/>
          <w:szCs w:val="24"/>
        </w:rPr>
        <w:t xml:space="preserve">Минимален размер на безвъзмездната финансова помощ: </w:t>
      </w:r>
      <w:r w:rsidR="00EF54CF">
        <w:rPr>
          <w:rFonts w:ascii="Times New Roman" w:hAnsi="Times New Roman" w:cs="Times New Roman"/>
          <w:b/>
          <w:sz w:val="24"/>
          <w:szCs w:val="24"/>
        </w:rPr>
        <w:t>5</w:t>
      </w:r>
      <w:r w:rsidR="008D7905">
        <w:rPr>
          <w:rFonts w:ascii="Times New Roman" w:hAnsi="Times New Roman" w:cs="Times New Roman"/>
          <w:b/>
          <w:sz w:val="24"/>
          <w:szCs w:val="24"/>
        </w:rPr>
        <w:t xml:space="preserve"> 000</w:t>
      </w:r>
      <w:r w:rsidRPr="007713C1">
        <w:rPr>
          <w:rFonts w:ascii="Times New Roman" w:hAnsi="Times New Roman" w:cs="Times New Roman"/>
          <w:b/>
          <w:sz w:val="24"/>
          <w:szCs w:val="24"/>
        </w:rPr>
        <w:t xml:space="preserve"> лева </w:t>
      </w:r>
    </w:p>
    <w:p w14:paraId="12DCFD76" w14:textId="5B48C667" w:rsidR="00404799" w:rsidRDefault="00404799" w:rsidP="00E93FF3">
      <w:pPr>
        <w:pStyle w:val="ListParagraph"/>
        <w:numPr>
          <w:ilvl w:val="0"/>
          <w:numId w:val="1"/>
        </w:numPr>
        <w:pBdr>
          <w:top w:val="single" w:sz="4" w:space="1" w:color="auto"/>
          <w:left w:val="single" w:sz="4" w:space="4" w:color="auto"/>
          <w:bottom w:val="single" w:sz="4" w:space="1" w:color="auto"/>
          <w:right w:val="single" w:sz="4" w:space="4" w:color="auto"/>
        </w:pBdr>
        <w:spacing w:after="360"/>
        <w:rPr>
          <w:rFonts w:ascii="Times New Roman" w:hAnsi="Times New Roman" w:cs="Times New Roman"/>
          <w:b/>
          <w:sz w:val="24"/>
          <w:szCs w:val="24"/>
        </w:rPr>
      </w:pPr>
      <w:r w:rsidRPr="007713C1">
        <w:rPr>
          <w:rFonts w:ascii="Times New Roman" w:hAnsi="Times New Roman" w:cs="Times New Roman"/>
          <w:b/>
          <w:sz w:val="24"/>
          <w:szCs w:val="24"/>
        </w:rPr>
        <w:t xml:space="preserve">Максимален размер на безвъзмездната финансова помощ: </w:t>
      </w:r>
      <w:r w:rsidR="00EF54CF">
        <w:rPr>
          <w:rFonts w:ascii="Times New Roman" w:hAnsi="Times New Roman" w:cs="Times New Roman"/>
          <w:b/>
          <w:sz w:val="24"/>
          <w:szCs w:val="24"/>
        </w:rPr>
        <w:t>1</w:t>
      </w:r>
      <w:r w:rsidR="00237204">
        <w:rPr>
          <w:rFonts w:ascii="Times New Roman" w:hAnsi="Times New Roman" w:cs="Times New Roman"/>
          <w:b/>
          <w:sz w:val="24"/>
          <w:szCs w:val="24"/>
        </w:rPr>
        <w:t>0</w:t>
      </w:r>
      <w:r w:rsidR="008D7905">
        <w:rPr>
          <w:rFonts w:ascii="Times New Roman" w:hAnsi="Times New Roman" w:cs="Times New Roman"/>
          <w:b/>
          <w:sz w:val="24"/>
          <w:szCs w:val="24"/>
        </w:rPr>
        <w:t>0 000</w:t>
      </w:r>
      <w:r w:rsidRPr="007713C1">
        <w:rPr>
          <w:rFonts w:ascii="Times New Roman" w:hAnsi="Times New Roman" w:cs="Times New Roman"/>
          <w:b/>
          <w:sz w:val="24"/>
          <w:szCs w:val="24"/>
        </w:rPr>
        <w:t xml:space="preserve"> лева </w:t>
      </w:r>
    </w:p>
    <w:p w14:paraId="48A6DFDD" w14:textId="77777777" w:rsidR="00AA165C" w:rsidRDefault="00AA165C" w:rsidP="007570DC">
      <w:pPr>
        <w:pStyle w:val="Heading1"/>
      </w:pPr>
      <w:bookmarkStart w:id="19" w:name="_Toc445385575"/>
    </w:p>
    <w:p w14:paraId="44896171" w14:textId="77777777" w:rsidR="004C0DBA" w:rsidRPr="004C0DBA" w:rsidRDefault="004C0DBA" w:rsidP="004C0DBA"/>
    <w:p w14:paraId="44E6EFBC" w14:textId="77777777" w:rsidR="00AA165C" w:rsidRDefault="00AA165C" w:rsidP="007570DC">
      <w:pPr>
        <w:pStyle w:val="Heading1"/>
      </w:pPr>
    </w:p>
    <w:p w14:paraId="32A1CDA1" w14:textId="77777777" w:rsidR="00803231" w:rsidRPr="007713C1" w:rsidRDefault="00D23417" w:rsidP="007570DC">
      <w:pPr>
        <w:pStyle w:val="Heading1"/>
        <w:rPr>
          <w:sz w:val="24"/>
          <w:szCs w:val="24"/>
        </w:rPr>
      </w:pPr>
      <w:bookmarkStart w:id="20" w:name="_Toc535495182"/>
      <w:r w:rsidRPr="007713C1">
        <w:lastRenderedPageBreak/>
        <w:t>10. Процент на съфинансиране</w:t>
      </w:r>
      <w:r w:rsidR="00803231" w:rsidRPr="007713C1">
        <w:t>:</w:t>
      </w:r>
      <w:bookmarkEnd w:id="19"/>
      <w:bookmarkEnd w:id="20"/>
    </w:p>
    <w:p w14:paraId="671D8ADF" w14:textId="77777777" w:rsidR="002A75D1" w:rsidRDefault="002A75D1" w:rsidP="0025139B">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sz w:val="24"/>
          <w:szCs w:val="24"/>
        </w:rPr>
      </w:pPr>
      <w:r w:rsidRPr="002A75D1">
        <w:rPr>
          <w:rFonts w:ascii="Times New Roman" w:hAnsi="Times New Roman" w:cs="Times New Roman"/>
          <w:sz w:val="24"/>
          <w:szCs w:val="24"/>
        </w:rPr>
        <w:t xml:space="preserve">Финансовата помощ за одобрени проекти е в размер </w:t>
      </w:r>
      <w:r w:rsidRPr="002A75D1">
        <w:rPr>
          <w:rFonts w:ascii="Times New Roman" w:hAnsi="Times New Roman" w:cs="Times New Roman"/>
          <w:b/>
          <w:sz w:val="24"/>
          <w:szCs w:val="24"/>
        </w:rPr>
        <w:t>до 50 %</w:t>
      </w:r>
      <w:r w:rsidRPr="002A75D1">
        <w:rPr>
          <w:rFonts w:ascii="Times New Roman" w:hAnsi="Times New Roman" w:cs="Times New Roman"/>
          <w:sz w:val="24"/>
          <w:szCs w:val="24"/>
        </w:rPr>
        <w:t xml:space="preserve"> от общия размер на допустимите за финансово подпомагане разходи, с изключение на проекти на големи предприятия, за които размерът на финансовата помощ възлиза на </w:t>
      </w:r>
      <w:r w:rsidRPr="002A75D1">
        <w:rPr>
          <w:rFonts w:ascii="Times New Roman" w:hAnsi="Times New Roman" w:cs="Times New Roman"/>
          <w:b/>
          <w:sz w:val="24"/>
          <w:szCs w:val="24"/>
        </w:rPr>
        <w:t>40 %</w:t>
      </w:r>
      <w:r w:rsidRPr="002A75D1">
        <w:rPr>
          <w:rFonts w:ascii="Times New Roman" w:hAnsi="Times New Roman" w:cs="Times New Roman"/>
          <w:sz w:val="24"/>
          <w:szCs w:val="24"/>
        </w:rPr>
        <w:t xml:space="preserve">. </w:t>
      </w:r>
    </w:p>
    <w:p w14:paraId="1993EC68" w14:textId="77777777" w:rsidR="002A75D1" w:rsidRPr="005645E9" w:rsidRDefault="002A75D1" w:rsidP="0025139B">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sz w:val="24"/>
          <w:szCs w:val="24"/>
          <w:lang w:val="en-US"/>
        </w:rPr>
      </w:pPr>
      <w:r w:rsidRPr="002A75D1">
        <w:rPr>
          <w:rFonts w:ascii="Times New Roman" w:hAnsi="Times New Roman" w:cs="Times New Roman"/>
          <w:sz w:val="24"/>
          <w:szCs w:val="24"/>
        </w:rPr>
        <w:t>Размерът на финансовата помощ се увеличава с 10 % от общия размер на</w:t>
      </w:r>
      <w:r>
        <w:rPr>
          <w:rFonts w:ascii="Times New Roman" w:hAnsi="Times New Roman" w:cs="Times New Roman"/>
          <w:sz w:val="24"/>
          <w:szCs w:val="24"/>
        </w:rPr>
        <w:t xml:space="preserve"> </w:t>
      </w:r>
      <w:r w:rsidRPr="002A75D1">
        <w:rPr>
          <w:rFonts w:ascii="Times New Roman" w:hAnsi="Times New Roman" w:cs="Times New Roman"/>
          <w:sz w:val="24"/>
          <w:szCs w:val="24"/>
        </w:rPr>
        <w:t>допустимите за финансово подпомагане разходи в следните случаи:</w:t>
      </w:r>
    </w:p>
    <w:p w14:paraId="197AC50A" w14:textId="77777777" w:rsidR="00B8195A" w:rsidRDefault="00B8195A" w:rsidP="0025139B">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sz w:val="24"/>
          <w:szCs w:val="24"/>
        </w:rPr>
      </w:pPr>
    </w:p>
    <w:p w14:paraId="062EBFAB" w14:textId="1134A7C9" w:rsidR="002A75D1" w:rsidRDefault="002A75D1" w:rsidP="0025139B">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sz w:val="24"/>
          <w:szCs w:val="24"/>
        </w:rPr>
      </w:pPr>
      <w:r w:rsidRPr="002A75D1">
        <w:rPr>
          <w:rFonts w:ascii="Times New Roman" w:hAnsi="Times New Roman" w:cs="Times New Roman"/>
          <w:sz w:val="24"/>
          <w:szCs w:val="24"/>
        </w:rPr>
        <w:t>1. За проекти с дейности, подпомагани по линия на</w:t>
      </w:r>
      <w:r w:rsidR="00EA7203">
        <w:rPr>
          <w:rFonts w:ascii="Times New Roman" w:hAnsi="Times New Roman" w:cs="Times New Roman"/>
          <w:sz w:val="24"/>
          <w:szCs w:val="24"/>
        </w:rPr>
        <w:t xml:space="preserve"> Европейското партньорство за Иновации</w:t>
      </w:r>
      <w:r w:rsidRPr="002A75D1">
        <w:rPr>
          <w:rFonts w:ascii="Times New Roman" w:hAnsi="Times New Roman" w:cs="Times New Roman"/>
          <w:sz w:val="24"/>
          <w:szCs w:val="24"/>
        </w:rPr>
        <w:t xml:space="preserve"> </w:t>
      </w:r>
      <w:r w:rsidR="00EA7203">
        <w:rPr>
          <w:rFonts w:ascii="Times New Roman" w:hAnsi="Times New Roman" w:cs="Times New Roman"/>
          <w:sz w:val="24"/>
          <w:szCs w:val="24"/>
        </w:rPr>
        <w:t>(ЕПИ)</w:t>
      </w:r>
    </w:p>
    <w:p w14:paraId="6162C0B8" w14:textId="7539B650" w:rsidR="004C3A3A" w:rsidRDefault="002A75D1" w:rsidP="0025139B">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sz w:val="24"/>
          <w:szCs w:val="24"/>
        </w:rPr>
      </w:pPr>
      <w:r w:rsidRPr="002A75D1">
        <w:rPr>
          <w:rFonts w:ascii="Times New Roman" w:hAnsi="Times New Roman" w:cs="Times New Roman"/>
          <w:sz w:val="24"/>
          <w:szCs w:val="24"/>
        </w:rPr>
        <w:t>2. За проекти, представени от земеделски стопани, които имат икономически размер на стопанството от 6 000 до 7 999 евро измерен в стандартен производствен обем</w:t>
      </w:r>
      <w:r>
        <w:rPr>
          <w:rFonts w:ascii="Times New Roman" w:hAnsi="Times New Roman" w:cs="Times New Roman"/>
          <w:sz w:val="24"/>
          <w:szCs w:val="24"/>
        </w:rPr>
        <w:t>.</w:t>
      </w:r>
      <w:r w:rsidRPr="002A75D1">
        <w:rPr>
          <w:rFonts w:ascii="Times New Roman" w:hAnsi="Times New Roman" w:cs="Times New Roman"/>
          <w:sz w:val="24"/>
          <w:szCs w:val="24"/>
        </w:rPr>
        <w:t xml:space="preserve"> </w:t>
      </w:r>
    </w:p>
    <w:p w14:paraId="42142275" w14:textId="77777777" w:rsidR="00B8195A" w:rsidRDefault="00B8195A" w:rsidP="0025139B">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sz w:val="24"/>
          <w:szCs w:val="24"/>
          <w:lang w:val="en-GB"/>
        </w:rPr>
      </w:pPr>
    </w:p>
    <w:p w14:paraId="6ACA7A0C" w14:textId="69391A6A" w:rsidR="00A02716" w:rsidRPr="00C6149F" w:rsidRDefault="00CF54B0" w:rsidP="00C6149F">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sz w:val="24"/>
          <w:szCs w:val="24"/>
        </w:rPr>
      </w:pPr>
      <w:r>
        <w:rPr>
          <w:rFonts w:ascii="Times New Roman" w:hAnsi="Times New Roman" w:cs="Times New Roman"/>
          <w:sz w:val="24"/>
          <w:szCs w:val="24"/>
        </w:rPr>
        <w:t>Максималното комбинирано подпомагане за един бенефициент е не повече от 90% от общия размер на допустимите за финансово подпомагане разходи.</w:t>
      </w:r>
      <w:bookmarkStart w:id="21" w:name="_Toc445385576"/>
    </w:p>
    <w:p w14:paraId="25FED347" w14:textId="784FF86F" w:rsidR="00B8195A" w:rsidRPr="00222A37" w:rsidRDefault="009B1A2D" w:rsidP="00AA165C">
      <w:pPr>
        <w:pStyle w:val="Heading1"/>
      </w:pPr>
      <w:bookmarkStart w:id="22" w:name="_Toc535495183"/>
      <w:r w:rsidRPr="007713C1">
        <w:t>11. Допустими кандидати:</w:t>
      </w:r>
      <w:bookmarkEnd w:id="21"/>
      <w:bookmarkEnd w:id="22"/>
    </w:p>
    <w:tbl>
      <w:tblPr>
        <w:tblStyle w:val="TableGrid"/>
        <w:tblW w:w="0" w:type="auto"/>
        <w:tblLook w:val="04A0" w:firstRow="1" w:lastRow="0" w:firstColumn="1" w:lastColumn="0" w:noHBand="0" w:noVBand="1"/>
      </w:tblPr>
      <w:tblGrid>
        <w:gridCol w:w="9346"/>
      </w:tblGrid>
      <w:tr w:rsidR="00B8195A" w:rsidRPr="007713C1" w14:paraId="1C057410" w14:textId="77777777" w:rsidTr="00B8195A">
        <w:tc>
          <w:tcPr>
            <w:tcW w:w="9346" w:type="dxa"/>
            <w:shd w:val="clear" w:color="auto" w:fill="auto"/>
          </w:tcPr>
          <w:p w14:paraId="138FEA40" w14:textId="77777777" w:rsidR="00B8195A" w:rsidRDefault="00B8195A" w:rsidP="00B8195A">
            <w:pPr>
              <w:pStyle w:val="ListParagraph"/>
              <w:spacing w:line="276" w:lineRule="auto"/>
              <w:ind w:left="0"/>
              <w:jc w:val="both"/>
              <w:rPr>
                <w:b/>
                <w:sz w:val="24"/>
                <w:szCs w:val="24"/>
              </w:rPr>
            </w:pPr>
            <w:r>
              <w:rPr>
                <w:b/>
                <w:sz w:val="24"/>
                <w:szCs w:val="24"/>
              </w:rPr>
              <w:t>Допустими кандидати по настоящата процедура са:</w:t>
            </w:r>
          </w:p>
          <w:p w14:paraId="131A59EB" w14:textId="77777777" w:rsidR="00B8195A" w:rsidRPr="00FE48FA" w:rsidRDefault="00B8195A" w:rsidP="00B8195A">
            <w:pPr>
              <w:spacing w:before="120"/>
              <w:jc w:val="both"/>
              <w:rPr>
                <w:sz w:val="24"/>
                <w:szCs w:val="24"/>
              </w:rPr>
            </w:pPr>
            <w:r>
              <w:rPr>
                <w:sz w:val="24"/>
                <w:szCs w:val="24"/>
              </w:rPr>
              <w:t xml:space="preserve">1. </w:t>
            </w:r>
            <w:r w:rsidRPr="00FE48FA">
              <w:rPr>
                <w:sz w:val="24"/>
                <w:szCs w:val="24"/>
              </w:rPr>
              <w:t>земеделски стопани, регистрирани като такива съгласно Закона за подпомагане на</w:t>
            </w:r>
            <w:r>
              <w:rPr>
                <w:sz w:val="24"/>
                <w:szCs w:val="24"/>
              </w:rPr>
              <w:t xml:space="preserve"> </w:t>
            </w:r>
            <w:r w:rsidRPr="00FE48FA">
              <w:rPr>
                <w:sz w:val="24"/>
                <w:szCs w:val="24"/>
              </w:rPr>
              <w:t>земеделските производители</w:t>
            </w:r>
            <w:r>
              <w:rPr>
                <w:sz w:val="24"/>
                <w:szCs w:val="24"/>
              </w:rPr>
              <w:t>;</w:t>
            </w:r>
          </w:p>
          <w:p w14:paraId="74F8367A" w14:textId="77777777" w:rsidR="00B8195A" w:rsidRDefault="00B8195A" w:rsidP="00B8195A">
            <w:pPr>
              <w:spacing w:before="120"/>
              <w:jc w:val="both"/>
              <w:rPr>
                <w:sz w:val="24"/>
                <w:szCs w:val="24"/>
              </w:rPr>
            </w:pPr>
            <w:r>
              <w:rPr>
                <w:sz w:val="24"/>
                <w:szCs w:val="24"/>
              </w:rPr>
              <w:t xml:space="preserve">2. </w:t>
            </w:r>
            <w:r w:rsidRPr="00FE48FA">
              <w:rPr>
                <w:sz w:val="24"/>
                <w:szCs w:val="24"/>
              </w:rPr>
              <w:t>признати групи или организации на производители или такива, одобрени за</w:t>
            </w:r>
            <w:r>
              <w:rPr>
                <w:sz w:val="24"/>
                <w:szCs w:val="24"/>
              </w:rPr>
              <w:t xml:space="preserve"> </w:t>
            </w:r>
            <w:r w:rsidRPr="00FE48FA">
              <w:rPr>
                <w:sz w:val="24"/>
                <w:szCs w:val="24"/>
              </w:rPr>
              <w:t>финансова помощ по мярка 9. „Учредяване на групи и организации на</w:t>
            </w:r>
            <w:r>
              <w:rPr>
                <w:sz w:val="24"/>
                <w:szCs w:val="24"/>
              </w:rPr>
              <w:t xml:space="preserve"> </w:t>
            </w:r>
            <w:r w:rsidRPr="00FE48FA">
              <w:rPr>
                <w:sz w:val="24"/>
                <w:szCs w:val="24"/>
              </w:rPr>
              <w:t>производители” от ПРСР 2014 - 2020 г.;</w:t>
            </w:r>
          </w:p>
          <w:p w14:paraId="714EE9AB" w14:textId="77777777" w:rsidR="00B8195A" w:rsidRPr="00FE48FA" w:rsidRDefault="00B8195A" w:rsidP="00B8195A">
            <w:pPr>
              <w:jc w:val="both"/>
              <w:rPr>
                <w:sz w:val="24"/>
                <w:szCs w:val="24"/>
              </w:rPr>
            </w:pPr>
            <w:r>
              <w:rPr>
                <w:sz w:val="24"/>
                <w:szCs w:val="24"/>
              </w:rPr>
              <w:t xml:space="preserve">3. </w:t>
            </w:r>
            <w:r w:rsidRPr="00FE48FA">
              <w:rPr>
                <w:sz w:val="24"/>
                <w:szCs w:val="24"/>
              </w:rPr>
              <w:t>еднолични търговци и юридически лица, различни от кандидатите по т. 1 и 2;</w:t>
            </w:r>
          </w:p>
          <w:p w14:paraId="7B672EFE" w14:textId="77777777" w:rsidR="00B8195A" w:rsidRDefault="00B8195A" w:rsidP="00B8195A">
            <w:pPr>
              <w:spacing w:before="120"/>
              <w:jc w:val="both"/>
              <w:rPr>
                <w:sz w:val="24"/>
                <w:szCs w:val="24"/>
              </w:rPr>
            </w:pPr>
            <w:r w:rsidRPr="00FE48FA">
              <w:rPr>
                <w:sz w:val="24"/>
                <w:szCs w:val="24"/>
              </w:rPr>
              <w:t>Кандидатите по т. 1, 2 и 3 трябва да са регистрирани по Търговския закон или Закона за</w:t>
            </w:r>
            <w:r>
              <w:rPr>
                <w:sz w:val="24"/>
                <w:szCs w:val="24"/>
              </w:rPr>
              <w:t xml:space="preserve"> </w:t>
            </w:r>
            <w:r w:rsidRPr="00FE48FA">
              <w:rPr>
                <w:sz w:val="24"/>
                <w:szCs w:val="24"/>
              </w:rPr>
              <w:t>кооперациите.</w:t>
            </w:r>
          </w:p>
          <w:p w14:paraId="7A7956D7" w14:textId="04D5B83B" w:rsidR="00B8195A" w:rsidRPr="00B8195A" w:rsidRDefault="00B8195A" w:rsidP="00B8195A">
            <w:pPr>
              <w:spacing w:before="120"/>
              <w:jc w:val="both"/>
              <w:rPr>
                <w:b/>
                <w:sz w:val="24"/>
                <w:szCs w:val="24"/>
              </w:rPr>
            </w:pPr>
          </w:p>
        </w:tc>
      </w:tr>
    </w:tbl>
    <w:p w14:paraId="70C9E620" w14:textId="7CF4BF0F" w:rsidR="00AA165C" w:rsidRDefault="00AA165C" w:rsidP="00561FFC">
      <w:pPr>
        <w:pStyle w:val="Heading1"/>
      </w:pPr>
      <w:bookmarkStart w:id="23" w:name="_Toc445385579"/>
    </w:p>
    <w:p w14:paraId="40CDB733" w14:textId="77777777" w:rsidR="00AA165C" w:rsidRDefault="00AA165C" w:rsidP="00AA165C">
      <w:pPr>
        <w:pStyle w:val="Heading2"/>
      </w:pPr>
      <w:bookmarkStart w:id="24" w:name="_Toc535245596"/>
      <w:bookmarkStart w:id="25" w:name="_Toc535495184"/>
      <w:r w:rsidRPr="00814916">
        <w:t>11.1. Критерии за допустимост на кандидатите:</w:t>
      </w:r>
      <w:bookmarkEnd w:id="24"/>
      <w:bookmarkEnd w:id="25"/>
    </w:p>
    <w:p w14:paraId="2EFA0163" w14:textId="77777777" w:rsidR="00AA165C" w:rsidRDefault="00AA165C" w:rsidP="00230E9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eastAsia="Times New Roman" w:hAnsi="Times New Roman" w:cs="Times New Roman"/>
          <w:b/>
          <w:sz w:val="24"/>
          <w:szCs w:val="24"/>
          <w:lang w:eastAsia="bg-BG"/>
        </w:rPr>
      </w:pPr>
      <w:r w:rsidRPr="001908BE">
        <w:rPr>
          <w:rFonts w:ascii="Times New Roman" w:eastAsia="Times New Roman" w:hAnsi="Times New Roman" w:cs="Times New Roman"/>
          <w:sz w:val="24"/>
          <w:szCs w:val="24"/>
          <w:lang w:eastAsia="bg-BG"/>
        </w:rPr>
        <w:t xml:space="preserve">Кандидатът/получателят на финансова помощ следва да има седалище и адрес на </w:t>
      </w:r>
      <w:r w:rsidRPr="00230E98">
        <w:rPr>
          <w:rFonts w:ascii="Times New Roman" w:eastAsia="Times New Roman" w:hAnsi="Times New Roman" w:cs="Times New Roman"/>
          <w:b/>
          <w:sz w:val="24"/>
          <w:szCs w:val="24"/>
          <w:lang w:eastAsia="bg-BG"/>
        </w:rPr>
        <w:t>управление на територията на действие на МИГ Поморие и да осъществява дейностите по проекта на територията на МИГ Поморие.</w:t>
      </w:r>
    </w:p>
    <w:p w14:paraId="002BB148" w14:textId="77777777" w:rsidR="00B4345D" w:rsidRPr="00230E98" w:rsidRDefault="00B4345D" w:rsidP="00230E9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eastAsia="Times New Roman" w:hAnsi="Times New Roman" w:cs="Times New Roman"/>
          <w:b/>
          <w:sz w:val="24"/>
          <w:szCs w:val="24"/>
          <w:lang w:eastAsia="bg-BG"/>
        </w:rPr>
      </w:pPr>
    </w:p>
    <w:p w14:paraId="0C8E46F3" w14:textId="267C4ED4" w:rsidR="00AA165C" w:rsidRPr="00945008" w:rsidRDefault="003B5067" w:rsidP="00230E98">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230E98">
        <w:rPr>
          <w:rFonts w:ascii="Times New Roman" w:eastAsia="Times New Roman" w:hAnsi="Times New Roman" w:cs="Times New Roman"/>
          <w:b/>
          <w:sz w:val="24"/>
          <w:szCs w:val="24"/>
          <w:lang w:eastAsia="bg-BG"/>
        </w:rPr>
        <w:t xml:space="preserve">ВАЖНО! </w:t>
      </w:r>
      <w:r w:rsidR="00AA165C" w:rsidRPr="00230E98">
        <w:rPr>
          <w:rFonts w:ascii="Times New Roman" w:eastAsia="Times New Roman" w:hAnsi="Times New Roman" w:cs="Times New Roman"/>
          <w:b/>
          <w:sz w:val="24"/>
          <w:szCs w:val="24"/>
          <w:lang w:eastAsia="bg-BG"/>
        </w:rPr>
        <w:t>Към момента на кандидатстването кандидат/получател на помощ и/или</w:t>
      </w:r>
      <w:r w:rsidR="00AA165C" w:rsidRPr="003B5067">
        <w:rPr>
          <w:rFonts w:ascii="Times New Roman" w:eastAsia="Times New Roman" w:hAnsi="Times New Roman" w:cs="Times New Roman"/>
          <w:b/>
          <w:sz w:val="24"/>
          <w:szCs w:val="24"/>
          <w:lang w:eastAsia="bg-BG"/>
        </w:rPr>
        <w:t xml:space="preserve"> негов законен или упълномощен представител следва да </w:t>
      </w:r>
      <w:r w:rsidR="00AA165C" w:rsidRPr="003B5067">
        <w:rPr>
          <w:rFonts w:ascii="Times New Roman" w:eastAsia="Times New Roman" w:hAnsi="Times New Roman" w:cs="Times New Roman"/>
          <w:b/>
          <w:sz w:val="24"/>
          <w:szCs w:val="24"/>
          <w:u w:val="single"/>
          <w:lang w:eastAsia="bg-BG"/>
        </w:rPr>
        <w:t>не</w:t>
      </w:r>
      <w:r w:rsidR="00AA165C" w:rsidRPr="003B5067">
        <w:rPr>
          <w:rFonts w:ascii="Times New Roman" w:eastAsia="Times New Roman" w:hAnsi="Times New Roman" w:cs="Times New Roman"/>
          <w:b/>
          <w:sz w:val="24"/>
          <w:szCs w:val="24"/>
          <w:lang w:eastAsia="bg-BG"/>
        </w:rPr>
        <w:t xml:space="preserve"> попада в някое от обстоятелства</w:t>
      </w:r>
      <w:r w:rsidRPr="003B5067">
        <w:rPr>
          <w:rFonts w:ascii="Times New Roman" w:eastAsia="Times New Roman" w:hAnsi="Times New Roman" w:cs="Times New Roman"/>
          <w:b/>
          <w:sz w:val="24"/>
          <w:szCs w:val="24"/>
          <w:lang w:eastAsia="bg-BG"/>
        </w:rPr>
        <w:t>та</w:t>
      </w:r>
      <w:r w:rsidR="00AA165C" w:rsidRPr="003B5067">
        <w:rPr>
          <w:rFonts w:ascii="Times New Roman" w:eastAsia="Times New Roman" w:hAnsi="Times New Roman" w:cs="Times New Roman"/>
          <w:b/>
          <w:sz w:val="24"/>
          <w:szCs w:val="24"/>
          <w:lang w:eastAsia="bg-BG"/>
        </w:rPr>
        <w:t xml:space="preserve"> за отстраняване</w:t>
      </w:r>
      <w:r w:rsidRPr="003B5067">
        <w:rPr>
          <w:rFonts w:ascii="Times New Roman" w:eastAsia="Times New Roman" w:hAnsi="Times New Roman" w:cs="Times New Roman"/>
          <w:b/>
          <w:sz w:val="24"/>
          <w:szCs w:val="24"/>
          <w:lang w:eastAsia="bg-BG"/>
        </w:rPr>
        <w:t xml:space="preserve">, описани в </w:t>
      </w:r>
      <w:r w:rsidR="00296DA2" w:rsidRPr="003B5067">
        <w:rPr>
          <w:rFonts w:ascii="Times New Roman" w:eastAsia="Times New Roman" w:hAnsi="Times New Roman" w:cs="Times New Roman"/>
          <w:b/>
          <w:sz w:val="24"/>
          <w:szCs w:val="24"/>
          <w:lang w:eastAsia="bg-BG"/>
        </w:rPr>
        <w:t xml:space="preserve">Декларация за липса на основания за отстраняване </w:t>
      </w:r>
      <w:r w:rsidR="00B0514D" w:rsidRPr="003B5067">
        <w:rPr>
          <w:rFonts w:ascii="Times New Roman" w:eastAsia="Times New Roman" w:hAnsi="Times New Roman" w:cs="Times New Roman"/>
          <w:b/>
          <w:sz w:val="24"/>
          <w:szCs w:val="24"/>
          <w:lang w:eastAsia="bg-BG"/>
        </w:rPr>
        <w:t xml:space="preserve">(Приложение № </w:t>
      </w:r>
      <w:r w:rsidR="00B4345D">
        <w:rPr>
          <w:rFonts w:ascii="Times New Roman" w:eastAsia="Times New Roman" w:hAnsi="Times New Roman" w:cs="Times New Roman"/>
          <w:b/>
          <w:sz w:val="24"/>
          <w:szCs w:val="24"/>
          <w:lang w:eastAsia="bg-BG"/>
        </w:rPr>
        <w:t>7</w:t>
      </w:r>
      <w:r>
        <w:rPr>
          <w:rFonts w:ascii="Times New Roman" w:eastAsia="Times New Roman" w:hAnsi="Times New Roman" w:cs="Times New Roman"/>
          <w:b/>
          <w:sz w:val="24"/>
          <w:szCs w:val="24"/>
          <w:lang w:eastAsia="bg-BG"/>
        </w:rPr>
        <w:t xml:space="preserve"> към настоящите Условия за кандидатстване</w:t>
      </w:r>
      <w:r w:rsidR="00B0514D" w:rsidRPr="003B5067">
        <w:rPr>
          <w:rFonts w:ascii="Times New Roman" w:eastAsia="Times New Roman" w:hAnsi="Times New Roman" w:cs="Times New Roman"/>
          <w:b/>
          <w:sz w:val="24"/>
          <w:szCs w:val="24"/>
          <w:lang w:eastAsia="bg-BG"/>
        </w:rPr>
        <w:t xml:space="preserve">). </w:t>
      </w:r>
      <w:r w:rsidR="00AA165C" w:rsidRPr="003B5067">
        <w:rPr>
          <w:rFonts w:ascii="Times New Roman" w:eastAsia="Times New Roman" w:hAnsi="Times New Roman" w:cs="Times New Roman"/>
          <w:b/>
          <w:sz w:val="24"/>
          <w:szCs w:val="24"/>
          <w:lang w:eastAsia="bg-BG"/>
        </w:rPr>
        <w:lastRenderedPageBreak/>
        <w:t>Декларацията следва да бъде попълнена и подписана от всички лица с право да представляват предприятието - кандидат (независимо от това дали го представляват заедно и/или поотделно, и/или по друг начин).</w:t>
      </w:r>
      <w:r w:rsidRPr="003B5067">
        <w:rPr>
          <w:rFonts w:ascii="Times New Roman" w:hAnsi="Times New Roman" w:cs="Times New Roman"/>
          <w:b/>
          <w:sz w:val="24"/>
          <w:szCs w:val="24"/>
        </w:rPr>
        <w:t xml:space="preserve"> </w:t>
      </w:r>
      <w:r w:rsidRPr="00450FC2">
        <w:rPr>
          <w:rFonts w:ascii="Times New Roman" w:hAnsi="Times New Roman" w:cs="Times New Roman"/>
          <w:b/>
          <w:sz w:val="24"/>
          <w:szCs w:val="24"/>
        </w:rPr>
        <w:t>Декларираните обстоятелства подлежат на проверки от Комисията за подбор на проектни предложения и от ДФЗ!</w:t>
      </w:r>
    </w:p>
    <w:p w14:paraId="19F15E5C" w14:textId="77777777" w:rsidR="006F0162" w:rsidRPr="007713C1" w:rsidRDefault="006F0162" w:rsidP="00561FFC">
      <w:pPr>
        <w:pStyle w:val="Heading1"/>
      </w:pPr>
      <w:bookmarkStart w:id="26" w:name="_Toc535495185"/>
      <w:r w:rsidRPr="007713C1">
        <w:t>12. Допустими партньори</w:t>
      </w:r>
      <w:bookmarkEnd w:id="26"/>
      <w:r w:rsidRPr="007713C1">
        <w:t xml:space="preserve"> </w:t>
      </w:r>
      <w:bookmarkEnd w:id="23"/>
    </w:p>
    <w:tbl>
      <w:tblPr>
        <w:tblStyle w:val="TableGrid"/>
        <w:tblW w:w="0" w:type="auto"/>
        <w:tblLook w:val="04A0" w:firstRow="1" w:lastRow="0" w:firstColumn="1" w:lastColumn="0" w:noHBand="0" w:noVBand="1"/>
      </w:tblPr>
      <w:tblGrid>
        <w:gridCol w:w="9322"/>
      </w:tblGrid>
      <w:tr w:rsidR="000B6C99" w:rsidRPr="007713C1" w14:paraId="18F916DF" w14:textId="77777777" w:rsidTr="006E3666">
        <w:tc>
          <w:tcPr>
            <w:tcW w:w="9322" w:type="dxa"/>
          </w:tcPr>
          <w:p w14:paraId="5BBDBC99" w14:textId="77777777" w:rsidR="007E0C06" w:rsidRPr="002052A9" w:rsidRDefault="00561FFC" w:rsidP="002052A9">
            <w:pPr>
              <w:jc w:val="both"/>
              <w:rPr>
                <w:sz w:val="24"/>
                <w:szCs w:val="24"/>
              </w:rPr>
            </w:pPr>
            <w:r w:rsidRPr="004C103A">
              <w:rPr>
                <w:sz w:val="24"/>
                <w:szCs w:val="24"/>
              </w:rPr>
              <w:t>Неприложимо.</w:t>
            </w:r>
          </w:p>
        </w:tc>
      </w:tr>
    </w:tbl>
    <w:p w14:paraId="0703F86D" w14:textId="5C1146BF" w:rsidR="0028166A" w:rsidRPr="0028166A" w:rsidRDefault="00A75A73" w:rsidP="00B14DF4">
      <w:pPr>
        <w:pStyle w:val="Heading1"/>
      </w:pPr>
      <w:bookmarkStart w:id="27" w:name="_Toc445385583"/>
      <w:bookmarkStart w:id="28" w:name="_Toc535495186"/>
      <w:r w:rsidRPr="007713C1">
        <w:t>13. Дейности, допустими за финансиране:</w:t>
      </w:r>
      <w:bookmarkEnd w:id="27"/>
      <w:bookmarkEnd w:id="28"/>
    </w:p>
    <w:tbl>
      <w:tblPr>
        <w:tblStyle w:val="TableGrid"/>
        <w:tblW w:w="0" w:type="auto"/>
        <w:tblLook w:val="04A0" w:firstRow="1" w:lastRow="0" w:firstColumn="1" w:lastColumn="0" w:noHBand="0" w:noVBand="1"/>
      </w:tblPr>
      <w:tblGrid>
        <w:gridCol w:w="9346"/>
      </w:tblGrid>
      <w:tr w:rsidR="003C2424" w:rsidRPr="007713C1" w14:paraId="5E8BF66B" w14:textId="77777777" w:rsidTr="008A5644">
        <w:tc>
          <w:tcPr>
            <w:tcW w:w="9346" w:type="dxa"/>
          </w:tcPr>
          <w:p w14:paraId="3EF68FA4" w14:textId="090D5D54" w:rsidR="00AA6168" w:rsidRDefault="001548BD" w:rsidP="004B6F00">
            <w:pPr>
              <w:spacing w:before="120" w:after="120"/>
              <w:jc w:val="both"/>
              <w:rPr>
                <w:sz w:val="24"/>
                <w:szCs w:val="24"/>
              </w:rPr>
            </w:pPr>
            <w:r>
              <w:rPr>
                <w:sz w:val="24"/>
                <w:szCs w:val="24"/>
              </w:rPr>
              <w:t>Подпомагат се</w:t>
            </w:r>
            <w:r w:rsidR="004B6F00" w:rsidRPr="004B6F00">
              <w:rPr>
                <w:sz w:val="24"/>
                <w:szCs w:val="24"/>
              </w:rPr>
              <w:t xml:space="preserve"> проекти, които водят до подобряване на цялостната дейност на предприятието</w:t>
            </w:r>
            <w:r w:rsidR="004B6F00">
              <w:rPr>
                <w:sz w:val="24"/>
                <w:szCs w:val="24"/>
              </w:rPr>
              <w:t xml:space="preserve"> чрез</w:t>
            </w:r>
            <w:r w:rsidR="00561FFC" w:rsidRPr="00561FFC">
              <w:rPr>
                <w:sz w:val="24"/>
                <w:szCs w:val="24"/>
              </w:rPr>
              <w:t>:</w:t>
            </w:r>
          </w:p>
          <w:p w14:paraId="68AE63C3" w14:textId="4AF65F00" w:rsidR="004B6F00" w:rsidRPr="004B6F00" w:rsidRDefault="004B6F00" w:rsidP="004B6F00">
            <w:pPr>
              <w:autoSpaceDE w:val="0"/>
              <w:autoSpaceDN w:val="0"/>
              <w:adjustRightInd w:val="0"/>
              <w:jc w:val="both"/>
              <w:rPr>
                <w:sz w:val="24"/>
                <w:szCs w:val="24"/>
              </w:rPr>
            </w:pPr>
            <w:r w:rsidRPr="004B6F00">
              <w:rPr>
                <w:sz w:val="24"/>
                <w:szCs w:val="24"/>
              </w:rPr>
              <w:t>1. внедряване на нови и/или модернизиране на наличните мощности и подобряване на</w:t>
            </w:r>
            <w:r w:rsidR="00B63329">
              <w:rPr>
                <w:sz w:val="24"/>
                <w:szCs w:val="24"/>
                <w:lang w:val="en-US"/>
              </w:rPr>
              <w:t xml:space="preserve"> </w:t>
            </w:r>
            <w:r w:rsidRPr="004B6F00">
              <w:rPr>
                <w:sz w:val="24"/>
                <w:szCs w:val="24"/>
              </w:rPr>
              <w:t>използването им, и/или</w:t>
            </w:r>
          </w:p>
          <w:p w14:paraId="05360CE8" w14:textId="77777777" w:rsidR="004B6F00" w:rsidRPr="004B6F00" w:rsidRDefault="004B6F00" w:rsidP="004B6F00">
            <w:pPr>
              <w:autoSpaceDE w:val="0"/>
              <w:autoSpaceDN w:val="0"/>
              <w:adjustRightInd w:val="0"/>
              <w:jc w:val="both"/>
              <w:rPr>
                <w:sz w:val="24"/>
                <w:szCs w:val="24"/>
              </w:rPr>
            </w:pPr>
            <w:r w:rsidRPr="004B6F00">
              <w:rPr>
                <w:sz w:val="24"/>
                <w:szCs w:val="24"/>
              </w:rPr>
              <w:t>2. внедряване на нови продукти, процеси и технологии, и/или</w:t>
            </w:r>
          </w:p>
          <w:p w14:paraId="0599C453" w14:textId="77777777" w:rsidR="004B6F00" w:rsidRPr="004B6F00" w:rsidRDefault="004B6F00" w:rsidP="004B6F00">
            <w:pPr>
              <w:autoSpaceDE w:val="0"/>
              <w:autoSpaceDN w:val="0"/>
              <w:adjustRightInd w:val="0"/>
              <w:jc w:val="both"/>
              <w:rPr>
                <w:sz w:val="24"/>
                <w:szCs w:val="24"/>
              </w:rPr>
            </w:pPr>
            <w:r w:rsidRPr="004B6F00">
              <w:rPr>
                <w:sz w:val="24"/>
                <w:szCs w:val="24"/>
              </w:rPr>
              <w:t>3. намаляване на себестойността на произвежданата продукция, и/или</w:t>
            </w:r>
          </w:p>
          <w:p w14:paraId="5806D4B7" w14:textId="77777777" w:rsidR="00882B18" w:rsidRDefault="004B6F00" w:rsidP="004B6F00">
            <w:pPr>
              <w:autoSpaceDE w:val="0"/>
              <w:autoSpaceDN w:val="0"/>
              <w:adjustRightInd w:val="0"/>
              <w:jc w:val="both"/>
              <w:rPr>
                <w:sz w:val="24"/>
                <w:szCs w:val="24"/>
              </w:rPr>
            </w:pPr>
            <w:r w:rsidRPr="004B6F00">
              <w:rPr>
                <w:sz w:val="24"/>
                <w:szCs w:val="24"/>
              </w:rPr>
              <w:t>4. постигане на съответствие с нововъведени стандарти на ЕС, и/или</w:t>
            </w:r>
          </w:p>
          <w:p w14:paraId="7F1DF367" w14:textId="77777777" w:rsidR="004B6F00" w:rsidRPr="004B6F00" w:rsidRDefault="004B6F00" w:rsidP="004B6F00">
            <w:pPr>
              <w:autoSpaceDE w:val="0"/>
              <w:autoSpaceDN w:val="0"/>
              <w:adjustRightInd w:val="0"/>
              <w:jc w:val="both"/>
              <w:rPr>
                <w:sz w:val="24"/>
                <w:szCs w:val="24"/>
              </w:rPr>
            </w:pPr>
            <w:r w:rsidRPr="004B6F00">
              <w:rPr>
                <w:sz w:val="24"/>
                <w:szCs w:val="24"/>
              </w:rPr>
              <w:t>5. подобряване на сътрудничеството с производителите на суровини, и/или</w:t>
            </w:r>
          </w:p>
          <w:p w14:paraId="656A9D18" w14:textId="3F0D0FB7" w:rsidR="004B6F00" w:rsidRPr="004B6F00" w:rsidRDefault="004B6F00" w:rsidP="004B6F00">
            <w:pPr>
              <w:autoSpaceDE w:val="0"/>
              <w:autoSpaceDN w:val="0"/>
              <w:adjustRightInd w:val="0"/>
              <w:jc w:val="both"/>
              <w:rPr>
                <w:sz w:val="24"/>
                <w:szCs w:val="24"/>
              </w:rPr>
            </w:pPr>
            <w:r w:rsidRPr="004B6F00">
              <w:rPr>
                <w:sz w:val="24"/>
                <w:szCs w:val="24"/>
              </w:rPr>
              <w:t>6. опазване на околната среда, включително намаляване на вредните емисии и</w:t>
            </w:r>
            <w:r w:rsidR="00B63329">
              <w:rPr>
                <w:sz w:val="24"/>
                <w:szCs w:val="24"/>
                <w:lang w:val="en-US"/>
              </w:rPr>
              <w:t xml:space="preserve"> </w:t>
            </w:r>
            <w:r w:rsidRPr="004B6F00">
              <w:rPr>
                <w:sz w:val="24"/>
                <w:szCs w:val="24"/>
              </w:rPr>
              <w:t>отпадъци, и/или</w:t>
            </w:r>
          </w:p>
          <w:p w14:paraId="4619975B" w14:textId="77777777" w:rsidR="004B6F00" w:rsidRPr="004B6F00" w:rsidRDefault="004B6F00" w:rsidP="004B6F00">
            <w:pPr>
              <w:autoSpaceDE w:val="0"/>
              <w:autoSpaceDN w:val="0"/>
              <w:adjustRightInd w:val="0"/>
              <w:jc w:val="both"/>
              <w:rPr>
                <w:sz w:val="24"/>
                <w:szCs w:val="24"/>
              </w:rPr>
            </w:pPr>
            <w:r w:rsidRPr="004B6F00">
              <w:rPr>
                <w:sz w:val="24"/>
                <w:szCs w:val="24"/>
              </w:rPr>
              <w:t>7. подобряване на енергийната ефективност в предприятията, и/или</w:t>
            </w:r>
          </w:p>
          <w:p w14:paraId="5ED05EA4" w14:textId="77777777" w:rsidR="004B6F00" w:rsidRPr="004B6F00" w:rsidRDefault="004B6F00" w:rsidP="004B6F00">
            <w:pPr>
              <w:autoSpaceDE w:val="0"/>
              <w:autoSpaceDN w:val="0"/>
              <w:adjustRightInd w:val="0"/>
              <w:jc w:val="both"/>
              <w:rPr>
                <w:sz w:val="24"/>
                <w:szCs w:val="24"/>
              </w:rPr>
            </w:pPr>
            <w:r w:rsidRPr="004B6F00">
              <w:rPr>
                <w:sz w:val="24"/>
                <w:szCs w:val="24"/>
              </w:rPr>
              <w:t>8. подобряване на безопасността и хигиенните условия на производство и труд, и/или</w:t>
            </w:r>
          </w:p>
          <w:p w14:paraId="6FA9989E" w14:textId="7A701571" w:rsidR="004B6F00" w:rsidRPr="004B6F00" w:rsidRDefault="004B6F00" w:rsidP="004B6F00">
            <w:pPr>
              <w:autoSpaceDE w:val="0"/>
              <w:autoSpaceDN w:val="0"/>
              <w:adjustRightInd w:val="0"/>
              <w:jc w:val="both"/>
              <w:rPr>
                <w:sz w:val="24"/>
                <w:szCs w:val="24"/>
              </w:rPr>
            </w:pPr>
            <w:r w:rsidRPr="004B6F00">
              <w:rPr>
                <w:sz w:val="24"/>
                <w:szCs w:val="24"/>
              </w:rPr>
              <w:t>9. подобряване на качеството и безопасността на храните и тяхната проследяемост,</w:t>
            </w:r>
            <w:r w:rsidR="00B63329">
              <w:rPr>
                <w:sz w:val="24"/>
                <w:szCs w:val="24"/>
                <w:lang w:val="en-US"/>
              </w:rPr>
              <w:t xml:space="preserve"> </w:t>
            </w:r>
            <w:r w:rsidRPr="004B6F00">
              <w:rPr>
                <w:sz w:val="24"/>
                <w:szCs w:val="24"/>
              </w:rPr>
              <w:t>и/или</w:t>
            </w:r>
          </w:p>
          <w:p w14:paraId="19C96748" w14:textId="625DC414" w:rsidR="002C277B" w:rsidRPr="00B14DF4" w:rsidRDefault="004B6F00" w:rsidP="002C277B">
            <w:pPr>
              <w:autoSpaceDE w:val="0"/>
              <w:autoSpaceDN w:val="0"/>
              <w:adjustRightInd w:val="0"/>
              <w:spacing w:before="120" w:after="160" w:line="259" w:lineRule="auto"/>
              <w:jc w:val="both"/>
              <w:rPr>
                <w:sz w:val="24"/>
                <w:szCs w:val="24"/>
              </w:rPr>
            </w:pPr>
            <w:r w:rsidRPr="004B6F00">
              <w:rPr>
                <w:sz w:val="24"/>
                <w:szCs w:val="24"/>
              </w:rPr>
              <w:t>10. подобряване на възможностите за производство на биологични храни чрез</w:t>
            </w:r>
            <w:r w:rsidR="00B63329">
              <w:rPr>
                <w:sz w:val="24"/>
                <w:szCs w:val="24"/>
                <w:lang w:val="en-US"/>
              </w:rPr>
              <w:t xml:space="preserve"> </w:t>
            </w:r>
            <w:r w:rsidRPr="004B6F00">
              <w:rPr>
                <w:sz w:val="24"/>
                <w:szCs w:val="24"/>
              </w:rPr>
              <w:t>преработка на първични земеделски биологични продукти</w:t>
            </w:r>
            <w:r>
              <w:rPr>
                <w:sz w:val="24"/>
                <w:szCs w:val="24"/>
              </w:rPr>
              <w:t>.</w:t>
            </w:r>
          </w:p>
        </w:tc>
      </w:tr>
    </w:tbl>
    <w:p w14:paraId="32E3E41A" w14:textId="77777777" w:rsidR="00043FB8" w:rsidRDefault="00043FB8" w:rsidP="00043FB8">
      <w:pPr>
        <w:pStyle w:val="Heading2"/>
      </w:pPr>
      <w:bookmarkStart w:id="29" w:name="_Toc534292212"/>
      <w:bookmarkStart w:id="30" w:name="_Toc535245600"/>
      <w:bookmarkStart w:id="31" w:name="_Toc535495187"/>
      <w:bookmarkStart w:id="32" w:name="_Toc445385591"/>
      <w:r>
        <w:t>13.2. Условия за допустимост на дейностите:</w:t>
      </w:r>
      <w:bookmarkEnd w:id="29"/>
      <w:bookmarkEnd w:id="30"/>
      <w:bookmarkEnd w:id="31"/>
    </w:p>
    <w:p w14:paraId="61063601" w14:textId="4652B55B" w:rsidR="00107ADC" w:rsidRPr="00107ADC" w:rsidRDefault="00043FB8" w:rsidP="009430C8">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CD16F0">
        <w:rPr>
          <w:rFonts w:ascii="Times New Roman" w:hAnsi="Times New Roman" w:cs="Times New Roman"/>
          <w:b/>
          <w:sz w:val="24"/>
          <w:szCs w:val="24"/>
        </w:rPr>
        <w:t>I. Общи изисквания:</w:t>
      </w:r>
    </w:p>
    <w:p w14:paraId="38EC55AE" w14:textId="77777777" w:rsidR="00043FB8" w:rsidRDefault="00043FB8" w:rsidP="009430C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6670E3">
        <w:rPr>
          <w:rFonts w:ascii="Times New Roman" w:hAnsi="Times New Roman" w:cs="Times New Roman"/>
          <w:sz w:val="24"/>
          <w:szCs w:val="24"/>
        </w:rPr>
        <w:t>Допустими за подпомагане са дейности, които ще се изпълняват на територията на община Поморие.</w:t>
      </w:r>
    </w:p>
    <w:p w14:paraId="6B4F3E19" w14:textId="77777777" w:rsidR="00107ADC" w:rsidRPr="00107ADC" w:rsidRDefault="00107ADC" w:rsidP="00107AD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107ADC">
        <w:rPr>
          <w:rFonts w:ascii="Times New Roman" w:hAnsi="Times New Roman" w:cs="Times New Roman"/>
          <w:sz w:val="24"/>
          <w:szCs w:val="24"/>
        </w:rPr>
        <w:t xml:space="preserve">Инвестициите, обект на подкрепа по мярка 2 „Инвестиции в преработка/маркетинг на селскостопански продукти“ следва да са свързани с: </w:t>
      </w:r>
    </w:p>
    <w:p w14:paraId="5A0E3B8B" w14:textId="340174E9" w:rsidR="00107ADC" w:rsidRPr="00107ADC" w:rsidRDefault="00107ADC" w:rsidP="00107AD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107ADC">
        <w:rPr>
          <w:rFonts w:ascii="Times New Roman" w:hAnsi="Times New Roman" w:cs="Times New Roman"/>
          <w:sz w:val="24"/>
          <w:szCs w:val="24"/>
        </w:rPr>
        <w:t>-</w:t>
      </w:r>
      <w:r w:rsidRPr="00107ADC">
        <w:rPr>
          <w:rFonts w:ascii="Times New Roman" w:hAnsi="Times New Roman" w:cs="Times New Roman"/>
          <w:sz w:val="24"/>
          <w:szCs w:val="24"/>
        </w:rPr>
        <w:tab/>
        <w:t>Преработка и/или маркетинг на продукти в обхвата на Приложение I към Договора за функционирането на Ев</w:t>
      </w:r>
      <w:r w:rsidR="00216FFC">
        <w:rPr>
          <w:rFonts w:ascii="Times New Roman" w:hAnsi="Times New Roman" w:cs="Times New Roman"/>
          <w:sz w:val="24"/>
          <w:szCs w:val="24"/>
        </w:rPr>
        <w:t>ропейския</w:t>
      </w:r>
      <w:r w:rsidR="00771C61">
        <w:rPr>
          <w:rFonts w:ascii="Times New Roman" w:hAnsi="Times New Roman" w:cs="Times New Roman"/>
          <w:sz w:val="24"/>
          <w:szCs w:val="24"/>
        </w:rPr>
        <w:t xml:space="preserve"> съюз (Приложение № 18</w:t>
      </w:r>
      <w:r w:rsidRPr="00107ADC">
        <w:rPr>
          <w:rFonts w:ascii="Times New Roman" w:hAnsi="Times New Roman" w:cs="Times New Roman"/>
          <w:sz w:val="24"/>
          <w:szCs w:val="24"/>
        </w:rPr>
        <w:t xml:space="preserve"> от настоящите Условия за кандидатстване), наричано по-нататък "приложение № І към Договора"  или на памук, с изключение на рибни продукти; </w:t>
      </w:r>
    </w:p>
    <w:p w14:paraId="6E043A99" w14:textId="6F0F2413" w:rsidR="00107ADC" w:rsidRPr="006670E3" w:rsidRDefault="00107ADC" w:rsidP="00107AD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107ADC">
        <w:rPr>
          <w:rFonts w:ascii="Times New Roman" w:hAnsi="Times New Roman" w:cs="Times New Roman"/>
          <w:sz w:val="24"/>
          <w:szCs w:val="24"/>
        </w:rPr>
        <w:lastRenderedPageBreak/>
        <w:t>-</w:t>
      </w:r>
      <w:r w:rsidRPr="00107ADC">
        <w:rPr>
          <w:rFonts w:ascii="Times New Roman" w:hAnsi="Times New Roman" w:cs="Times New Roman"/>
          <w:sz w:val="24"/>
          <w:szCs w:val="24"/>
        </w:rPr>
        <w:tab/>
        <w:t>Развитие на нови продукти, процеси и технологии за продукти в обхвата на Приложение I към Договора или на памук, с изключение на рибни продукти.</w:t>
      </w:r>
    </w:p>
    <w:p w14:paraId="5D9FCBF3" w14:textId="77777777" w:rsidR="00043FB8" w:rsidRPr="006670E3" w:rsidRDefault="00043FB8" w:rsidP="009430C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6670E3">
        <w:rPr>
          <w:rFonts w:ascii="Times New Roman" w:hAnsi="Times New Roman" w:cs="Times New Roman"/>
          <w:sz w:val="24"/>
          <w:szCs w:val="24"/>
        </w:rPr>
        <w:t>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ЕС.</w:t>
      </w:r>
    </w:p>
    <w:p w14:paraId="56601E04" w14:textId="3677FF5C" w:rsidR="00043FB8" w:rsidRPr="006670E3" w:rsidRDefault="00043FB8" w:rsidP="009430C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6670E3">
        <w:rPr>
          <w:rFonts w:ascii="Times New Roman" w:hAnsi="Times New Roman" w:cs="Times New Roman"/>
          <w:sz w:val="24"/>
          <w:szCs w:val="24"/>
        </w:rPr>
        <w:t xml:space="preserve">За да подлежат на подпомагане кандидатите представят бизнес план (по образец съгласно </w:t>
      </w:r>
      <w:r w:rsidR="00216FFC">
        <w:rPr>
          <w:rFonts w:ascii="Times New Roman" w:hAnsi="Times New Roman" w:cs="Times New Roman"/>
          <w:sz w:val="24"/>
          <w:szCs w:val="24"/>
        </w:rPr>
        <w:t>Приложение № 1 А и № 1</w:t>
      </w:r>
      <w:r w:rsidRPr="008D182C">
        <w:rPr>
          <w:rFonts w:ascii="Times New Roman" w:hAnsi="Times New Roman" w:cs="Times New Roman"/>
          <w:sz w:val="24"/>
          <w:szCs w:val="24"/>
        </w:rPr>
        <w:t xml:space="preserve"> Б от документите за попълване, който съдържа подробно описание на планираните инвестиции и дейности</w:t>
      </w:r>
      <w:r w:rsidRPr="006670E3">
        <w:rPr>
          <w:rFonts w:ascii="Times New Roman" w:hAnsi="Times New Roman" w:cs="Times New Roman"/>
          <w:sz w:val="24"/>
          <w:szCs w:val="24"/>
        </w:rPr>
        <w:t>, и доказва икономическата жизнеспособност на проекта и стопанството за 5 годишен период, а в случаите на инвестиции за извършване на строително-монтажни работи и трайни насаждения – за 10 годишен период.</w:t>
      </w:r>
    </w:p>
    <w:p w14:paraId="17A4A42E" w14:textId="77777777" w:rsidR="00043FB8" w:rsidRPr="00451FD3" w:rsidRDefault="00043FB8" w:rsidP="009430C8">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451FD3">
        <w:rPr>
          <w:rFonts w:ascii="Times New Roman" w:hAnsi="Times New Roman" w:cs="Times New Roman"/>
          <w:sz w:val="24"/>
          <w:szCs w:val="24"/>
        </w:rPr>
        <w:t>Подпомагат се проекти, за които е наличен един от следните документи: 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 разрешително от компетентния орган по околна среда (Регионална инспекция по околната среда и водите/Министерство на околната среда и водите/Басейнова дирекция), издадени по реда на Закона за опазване на околната среда, Закона за биологичното разнообразие и/или Закона за водите (когато е приложимо);</w:t>
      </w:r>
    </w:p>
    <w:p w14:paraId="223B33FB" w14:textId="0970B6FA" w:rsidR="00043FB8" w:rsidRPr="0025730B" w:rsidRDefault="00043FB8" w:rsidP="009430C8">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25730B">
        <w:rPr>
          <w:rFonts w:ascii="Times New Roman" w:hAnsi="Times New Roman" w:cs="Times New Roman"/>
          <w:sz w:val="24"/>
          <w:szCs w:val="24"/>
        </w:rPr>
        <w:t>Проектите трябва да се изпълняват върху имот – собственост на кандидата, а когато имотът не е собственост на кандидата, към проектите се прилагат документи за учредено право на строеж върху имота за срок не по-малко от 6 години, считано от датата на подаване на</w:t>
      </w:r>
      <w:r w:rsidR="00E6707E">
        <w:rPr>
          <w:rFonts w:ascii="Times New Roman" w:hAnsi="Times New Roman" w:cs="Times New Roman"/>
          <w:sz w:val="24"/>
          <w:szCs w:val="24"/>
        </w:rPr>
        <w:t xml:space="preserve"> проектното предложение или </w:t>
      </w:r>
      <w:r w:rsidRPr="0025730B">
        <w:rPr>
          <w:rFonts w:ascii="Times New Roman" w:hAnsi="Times New Roman" w:cs="Times New Roman"/>
          <w:sz w:val="24"/>
          <w:szCs w:val="24"/>
        </w:rPr>
        <w:t>документ за ползване върху</w:t>
      </w:r>
      <w:r w:rsidRPr="006670E3">
        <w:rPr>
          <w:rFonts w:ascii="Times New Roman" w:hAnsi="Times New Roman" w:cs="Times New Roman"/>
          <w:sz w:val="24"/>
          <w:szCs w:val="24"/>
        </w:rPr>
        <w:t xml:space="preserve"> имота, валиден за срок не по-малък от 6 години, считано от датата на подаване на проектното предложение към стратегията за ВОМР, вписан в районната служба по вписванията, а в случай на договор за аренда на земя - и регистриран в съответната общинска служба по земеделие на Министерството на земеделието, храните и горите, в случаите на обновяване на сгради и/или помещения, за които не се изисква издаване на разрешение за строеж, съгласно Закона за устройство на територията. </w:t>
      </w:r>
    </w:p>
    <w:p w14:paraId="5445F1A9" w14:textId="77777777" w:rsidR="00043FB8" w:rsidRPr="0025730B" w:rsidRDefault="00043FB8" w:rsidP="00CC17A3">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25730B">
        <w:rPr>
          <w:rFonts w:ascii="Times New Roman" w:hAnsi="Times New Roman" w:cs="Times New Roman"/>
          <w:b/>
          <w:sz w:val="24"/>
          <w:szCs w:val="24"/>
        </w:rPr>
        <w:t>Към проектите, включващи разходи за строително-монтажни работи, се прилагат:</w:t>
      </w:r>
    </w:p>
    <w:p w14:paraId="1A54B331" w14:textId="77777777" w:rsidR="00043FB8" w:rsidRPr="006670E3" w:rsidRDefault="00043FB8" w:rsidP="00CC17A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6670E3">
        <w:rPr>
          <w:rFonts w:ascii="Times New Roman" w:hAnsi="Times New Roman" w:cs="Times New Roman"/>
          <w:sz w:val="24"/>
          <w:szCs w:val="24"/>
        </w:rPr>
        <w:t>а) архитектурно 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строително-монтажни работи не се изисква одобрен инвестиционен проект съгласно Закона за устройство на територията;</w:t>
      </w:r>
    </w:p>
    <w:p w14:paraId="3E6B2DA0" w14:textId="77777777" w:rsidR="00043FB8" w:rsidRPr="006670E3" w:rsidRDefault="00043FB8" w:rsidP="00CC17A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6670E3">
        <w:rPr>
          <w:rFonts w:ascii="Times New Roman" w:hAnsi="Times New Roman" w:cs="Times New Roman"/>
          <w:sz w:val="24"/>
          <w:szCs w:val="24"/>
        </w:rPr>
        <w:lastRenderedPageBreak/>
        <w:t>б) одобрен инвестиционен проект, изработен във фаза "Технически проект" или "Работен проект (работни чертежи и детайли)" в съответствие с изискванията на Закона за устройство на територията и Наредба № 4 от 2001 г. за обхвата и съдържанието на инвестиционните проекти (обн., ДВ, бр. 51 от 2001 г.)</w:t>
      </w:r>
      <w:r w:rsidRPr="006670E3">
        <w:t xml:space="preserve"> </w:t>
      </w:r>
      <w:r w:rsidRPr="006670E3">
        <w:rPr>
          <w:rFonts w:ascii="Times New Roman" w:hAnsi="Times New Roman" w:cs="Times New Roman"/>
          <w:sz w:val="24"/>
          <w:szCs w:val="24"/>
        </w:rPr>
        <w:t>.) или заснемане на обекта/съоръжението и/или архитектурен план на сградата, съоръжението, обекта, който ще се изгражда, ремонтира или обновява, в случаите на проекти, включващи разходи за строително-монтажни работи и когато за предвидените строително-монтажни работи не се изисква одобрен инвестиционен проект съгласно Закона за устройство на територията.;</w:t>
      </w:r>
    </w:p>
    <w:p w14:paraId="30C23043" w14:textId="77777777" w:rsidR="00043FB8" w:rsidRPr="0025730B" w:rsidRDefault="00043FB8" w:rsidP="00CC17A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6670E3">
        <w:rPr>
          <w:rFonts w:ascii="Times New Roman" w:hAnsi="Times New Roman" w:cs="Times New Roman"/>
          <w:sz w:val="24"/>
          <w:szCs w:val="24"/>
        </w:rPr>
        <w:t xml:space="preserve">в) подробни количествени сметки за предвидените </w:t>
      </w:r>
      <w:r w:rsidRPr="0025730B">
        <w:rPr>
          <w:rFonts w:ascii="Times New Roman" w:hAnsi="Times New Roman" w:cs="Times New Roman"/>
          <w:sz w:val="24"/>
          <w:szCs w:val="24"/>
        </w:rPr>
        <w:t>строително-монтажни работи, заверени от правоспособно лице;</w:t>
      </w:r>
    </w:p>
    <w:p w14:paraId="24C24BB7" w14:textId="77777777" w:rsidR="00043FB8" w:rsidRPr="0025730B" w:rsidRDefault="00043FB8" w:rsidP="00CC17A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25730B">
        <w:rPr>
          <w:rFonts w:ascii="Times New Roman" w:hAnsi="Times New Roman" w:cs="Times New Roman"/>
          <w:sz w:val="24"/>
          <w:szCs w:val="24"/>
        </w:rPr>
        <w:t>г) разрешение за строеж, когато издаването му се изисква съгласно ЗУТ</w:t>
      </w:r>
      <w:r w:rsidRPr="0025730B">
        <w:t xml:space="preserve"> </w:t>
      </w:r>
      <w:r w:rsidRPr="0025730B">
        <w:rPr>
          <w:rFonts w:ascii="Times New Roman" w:hAnsi="Times New Roman" w:cs="Times New Roman"/>
          <w:sz w:val="24"/>
          <w:szCs w:val="24"/>
        </w:rPr>
        <w:t>или становище на главния архитект, че строежът не се нуждае от издаване на разрешение за строеж, когато издаването му не се изисква съгласно Закона за устройство на територията;</w:t>
      </w:r>
    </w:p>
    <w:p w14:paraId="4CDF68FF" w14:textId="77777777" w:rsidR="00043FB8" w:rsidRDefault="00043FB8" w:rsidP="00CC17A3">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BD2BE3">
        <w:rPr>
          <w:rFonts w:ascii="Times New Roman" w:hAnsi="Times New Roman" w:cs="Times New Roman"/>
          <w:sz w:val="24"/>
          <w:szCs w:val="24"/>
        </w:rPr>
        <w:t>За проектите, включващи заявени за подпомагане разходи за закупуване и/или инсталиране на нови машини, оборудване и съоръжения, необходими за подобряване на производството, за които съгласно технологичен проект се изисква поставяне в затворени помещения, кандидатът също предоставя документ за собственост или документ, доказващ правно основание за ползване за не по-малко от 6 години от датата на подаване на проектното предложение, на сградите или помещенията, където новите машини, оборудване и съоръжения ще бъдат поставени или монтирани.</w:t>
      </w:r>
    </w:p>
    <w:p w14:paraId="74F76995" w14:textId="77777777" w:rsidR="00043FB8" w:rsidRPr="00D13546" w:rsidRDefault="00043FB8" w:rsidP="0016268A">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D13546">
        <w:rPr>
          <w:rFonts w:ascii="Times New Roman" w:hAnsi="Times New Roman" w:cs="Times New Roman"/>
          <w:sz w:val="24"/>
          <w:szCs w:val="24"/>
        </w:rPr>
        <w:t xml:space="preserve">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 </w:t>
      </w:r>
    </w:p>
    <w:p w14:paraId="529A798E" w14:textId="77777777" w:rsidR="00043FB8" w:rsidRDefault="00043FB8" w:rsidP="00043FB8">
      <w:pPr>
        <w:pStyle w:val="Heading2"/>
      </w:pPr>
      <w:bookmarkStart w:id="33" w:name="_Toc534292213"/>
      <w:bookmarkStart w:id="34" w:name="_Toc535245601"/>
      <w:bookmarkStart w:id="35" w:name="_Toc535495188"/>
      <w:r>
        <w:t>13.3. Недопустими дейности</w:t>
      </w:r>
      <w:bookmarkEnd w:id="33"/>
      <w:bookmarkEnd w:id="34"/>
      <w:bookmarkEnd w:id="35"/>
    </w:p>
    <w:p w14:paraId="0B362351" w14:textId="77777777" w:rsidR="00043FB8" w:rsidRPr="00DC09F7" w:rsidRDefault="00043FB8" w:rsidP="00043FB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jc w:val="both"/>
        <w:rPr>
          <w:rFonts w:ascii="Times New Roman" w:eastAsia="Calibri" w:hAnsi="Times New Roman" w:cs="Times New Roman"/>
          <w:sz w:val="24"/>
          <w:szCs w:val="24"/>
        </w:rPr>
      </w:pPr>
      <w:r w:rsidRPr="00DC09F7">
        <w:rPr>
          <w:rFonts w:ascii="Times New Roman" w:eastAsia="Calibri" w:hAnsi="Times New Roman" w:cs="Times New Roman"/>
          <w:sz w:val="24"/>
          <w:szCs w:val="24"/>
        </w:rPr>
        <w:t xml:space="preserve">Безвъзмездната финансова помощ не се предоставя за финансиране на разходи, които вече са финансирани със средства от ЕСИФ или чрез други инструменти на Европейския съюз в съответствие с чл. 65, параграф 11 от Регламент (ЕС)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w:t>
      </w:r>
      <w:r w:rsidRPr="00DC09F7">
        <w:rPr>
          <w:rFonts w:ascii="Times New Roman" w:eastAsia="Calibri" w:hAnsi="Times New Roman" w:cs="Times New Roman"/>
          <w:sz w:val="24"/>
          <w:szCs w:val="24"/>
        </w:rPr>
        <w:lastRenderedPageBreak/>
        <w:t>347/320 от 20 декември 2013 г.), както и с други публични средства, различни от тези на бенефициента за дейностите, които се подпомагат по настоящата процедура и са за същия обект/и.</w:t>
      </w:r>
    </w:p>
    <w:p w14:paraId="13667B5B" w14:textId="3249DEEB" w:rsidR="008A5644" w:rsidRPr="007E5AF2" w:rsidRDefault="008A5644" w:rsidP="007E5AF2">
      <w:pPr>
        <w:pStyle w:val="Heading2"/>
      </w:pPr>
    </w:p>
    <w:p w14:paraId="3A7948BA" w14:textId="77777777" w:rsidR="00815963" w:rsidRPr="007713C1" w:rsidRDefault="00815963" w:rsidP="007A0720">
      <w:pPr>
        <w:pStyle w:val="Heading1"/>
      </w:pPr>
      <w:bookmarkStart w:id="36" w:name="_Toc535495189"/>
      <w:r w:rsidRPr="007713C1">
        <w:t>14. Категории ра</w:t>
      </w:r>
      <w:r w:rsidR="005B29DA" w:rsidRPr="007713C1">
        <w:t>зходи, допустими за финансиране</w:t>
      </w:r>
      <w:r w:rsidRPr="007713C1">
        <w:t>:</w:t>
      </w:r>
      <w:bookmarkEnd w:id="32"/>
      <w:bookmarkEnd w:id="36"/>
    </w:p>
    <w:p w14:paraId="5722E74F" w14:textId="33E5E28A" w:rsidR="00627EF7" w:rsidRDefault="002705DF" w:rsidP="001B2EE0">
      <w:pPr>
        <w:pStyle w:val="Heading2"/>
      </w:pPr>
      <w:bookmarkStart w:id="37" w:name="_Toc445385594"/>
      <w:bookmarkStart w:id="38" w:name="_Toc535495190"/>
      <w:r w:rsidRPr="00FD78FC">
        <w:t>14.</w:t>
      </w:r>
      <w:r w:rsidR="007A0720">
        <w:t>1</w:t>
      </w:r>
      <w:r w:rsidRPr="00FD78FC">
        <w:t xml:space="preserve">. Допустими </w:t>
      </w:r>
      <w:r w:rsidRPr="007713C1">
        <w:t>р</w:t>
      </w:r>
      <w:r w:rsidRPr="00FD78FC">
        <w:t>азход</w:t>
      </w:r>
      <w:bookmarkEnd w:id="37"/>
      <w:r w:rsidR="00627EF7">
        <w:t>и</w:t>
      </w:r>
      <w:bookmarkEnd w:id="38"/>
    </w:p>
    <w:tbl>
      <w:tblPr>
        <w:tblStyle w:val="1"/>
        <w:tblW w:w="0" w:type="auto"/>
        <w:tblLook w:val="04A0" w:firstRow="1" w:lastRow="0" w:firstColumn="1" w:lastColumn="0" w:noHBand="0" w:noVBand="1"/>
      </w:tblPr>
      <w:tblGrid>
        <w:gridCol w:w="9346"/>
      </w:tblGrid>
      <w:tr w:rsidR="00627EF7" w:rsidRPr="00627EF7" w14:paraId="7884D1BA" w14:textId="77777777" w:rsidTr="00EC54F2">
        <w:tc>
          <w:tcPr>
            <w:tcW w:w="9496" w:type="dxa"/>
            <w:shd w:val="clear" w:color="auto" w:fill="auto"/>
          </w:tcPr>
          <w:p w14:paraId="75DC5EB0" w14:textId="77777777" w:rsidR="00627EF7" w:rsidRPr="00627EF7" w:rsidRDefault="00627EF7" w:rsidP="00627EF7">
            <w:pPr>
              <w:spacing w:before="120" w:after="120"/>
              <w:jc w:val="both"/>
              <w:rPr>
                <w:b/>
                <w:sz w:val="24"/>
                <w:szCs w:val="24"/>
                <w:u w:val="single"/>
              </w:rPr>
            </w:pPr>
            <w:r w:rsidRPr="00627EF7">
              <w:rPr>
                <w:b/>
                <w:sz w:val="24"/>
                <w:szCs w:val="24"/>
                <w:u w:val="single"/>
              </w:rPr>
              <w:t>Допустими за финансова помощ по процедурата са следните разходи:</w:t>
            </w:r>
          </w:p>
          <w:p w14:paraId="4606201A" w14:textId="77777777" w:rsidR="00627EF7" w:rsidRPr="00F9106E" w:rsidRDefault="00627EF7" w:rsidP="00627EF7">
            <w:pPr>
              <w:jc w:val="both"/>
              <w:rPr>
                <w:sz w:val="24"/>
                <w:szCs w:val="24"/>
              </w:rPr>
            </w:pPr>
            <w:r>
              <w:rPr>
                <w:sz w:val="24"/>
                <w:szCs w:val="24"/>
              </w:rPr>
              <w:t xml:space="preserve">1. </w:t>
            </w:r>
            <w:r w:rsidRPr="00F9106E">
              <w:rPr>
                <w:sz w:val="24"/>
                <w:szCs w:val="24"/>
              </w:rPr>
              <w:t>изграждане, придобиване и модернизиране на сгради и други недвижими активи, свързани с производството и/или маркетинга, включително такива, използвани за опазване компонентите на околната среда;</w:t>
            </w:r>
          </w:p>
          <w:p w14:paraId="740A6A85" w14:textId="77777777" w:rsidR="00627EF7" w:rsidRPr="00F9106E" w:rsidRDefault="00627EF7" w:rsidP="00627EF7">
            <w:pPr>
              <w:jc w:val="both"/>
              <w:rPr>
                <w:sz w:val="24"/>
                <w:szCs w:val="24"/>
              </w:rPr>
            </w:pPr>
            <w:r w:rsidRPr="00F9106E">
              <w:rPr>
                <w:sz w:val="24"/>
                <w:szCs w:val="24"/>
              </w:rPr>
              <w:t>2. закупуване, включително чрез финансов лизинг, и/или инсталиране на нови машини, съоръжения и оборудване, необходими за подобряване на производствения процес по преработка и маркетинга, в т.ч. за:</w:t>
            </w:r>
          </w:p>
          <w:p w14:paraId="4EA571CB" w14:textId="77777777" w:rsidR="00627EF7" w:rsidRPr="00F9106E" w:rsidRDefault="00627EF7" w:rsidP="00627EF7">
            <w:pPr>
              <w:jc w:val="both"/>
              <w:rPr>
                <w:sz w:val="24"/>
                <w:szCs w:val="24"/>
              </w:rPr>
            </w:pPr>
            <w:r w:rsidRPr="00F9106E">
              <w:rPr>
                <w:sz w:val="24"/>
                <w:szCs w:val="24"/>
              </w:rPr>
              <w:t>а) преработка, пакетиране, включително охлаждане, замразяване, сушене, съхраняване и др. на суровините или продукцията;</w:t>
            </w:r>
          </w:p>
          <w:p w14:paraId="3C0B4DCA" w14:textId="77777777" w:rsidR="00627EF7" w:rsidRPr="00F9106E" w:rsidRDefault="00627EF7" w:rsidP="00627EF7">
            <w:pPr>
              <w:jc w:val="both"/>
              <w:rPr>
                <w:sz w:val="24"/>
                <w:szCs w:val="24"/>
              </w:rPr>
            </w:pPr>
            <w:r w:rsidRPr="00F9106E">
              <w:rPr>
                <w:sz w:val="24"/>
                <w:szCs w:val="24"/>
              </w:rPr>
              <w:t>б) производство на нови продукти, въвеждане на нови технологии и процеси;</w:t>
            </w:r>
          </w:p>
          <w:p w14:paraId="18B41E72" w14:textId="77777777" w:rsidR="00627EF7" w:rsidRPr="00F9106E" w:rsidRDefault="00627EF7" w:rsidP="00627EF7">
            <w:pPr>
              <w:jc w:val="both"/>
              <w:rPr>
                <w:sz w:val="24"/>
                <w:szCs w:val="24"/>
              </w:rPr>
            </w:pPr>
            <w:r w:rsidRPr="00F9106E">
              <w:rPr>
                <w:sz w:val="24"/>
                <w:szCs w:val="24"/>
              </w:rPr>
              <w:t>в) опазване компонентите на околната среда;</w:t>
            </w:r>
          </w:p>
          <w:p w14:paraId="5100A9A5" w14:textId="77777777" w:rsidR="00627EF7" w:rsidRPr="00F9106E" w:rsidRDefault="00627EF7" w:rsidP="00627EF7">
            <w:pPr>
              <w:jc w:val="both"/>
              <w:rPr>
                <w:sz w:val="24"/>
                <w:szCs w:val="24"/>
              </w:rPr>
            </w:pPr>
            <w:r w:rsidRPr="00F9106E">
              <w:rPr>
                <w:sz w:val="24"/>
                <w:szCs w:val="24"/>
              </w:rPr>
              <w:t>г) производство на енергия от възобновяеми енергийни източници за собствените нужди на предприятието, включително чрез преработка на растителна и животинска първична и вторична биомаса;</w:t>
            </w:r>
          </w:p>
          <w:p w14:paraId="2178FB8E" w14:textId="77777777" w:rsidR="00627EF7" w:rsidRPr="00F9106E" w:rsidRDefault="00627EF7" w:rsidP="00627EF7">
            <w:pPr>
              <w:jc w:val="both"/>
              <w:rPr>
                <w:sz w:val="24"/>
                <w:szCs w:val="24"/>
              </w:rPr>
            </w:pPr>
            <w:r w:rsidRPr="00F9106E">
              <w:rPr>
                <w:sz w:val="24"/>
                <w:szCs w:val="24"/>
              </w:rPr>
              <w:t>д) подобряване на енергийната ефективност и за подобряване и контрол на качеството и безопасността на суровините и храните;</w:t>
            </w:r>
          </w:p>
          <w:p w14:paraId="39573D8B" w14:textId="77777777" w:rsidR="00627EF7" w:rsidRPr="00F9106E" w:rsidRDefault="00627EF7" w:rsidP="00627EF7">
            <w:pPr>
              <w:jc w:val="both"/>
              <w:rPr>
                <w:sz w:val="24"/>
                <w:szCs w:val="24"/>
              </w:rPr>
            </w:pPr>
            <w:r w:rsidRPr="00F9106E">
              <w:rPr>
                <w:sz w:val="24"/>
                <w:szCs w:val="24"/>
              </w:rPr>
              <w:t>3. закупуване на земя, необходима за изпълнение на проекта във връзка с изграждане и/или модернизиране на сгради, помещения и други недвижими материални активи, предназначени за производствени дейности;</w:t>
            </w:r>
          </w:p>
          <w:p w14:paraId="62E0D7DC" w14:textId="5AF36C1B" w:rsidR="00627EF7" w:rsidRPr="00F9106E" w:rsidRDefault="00627EF7" w:rsidP="00627EF7">
            <w:pPr>
              <w:jc w:val="both"/>
              <w:rPr>
                <w:sz w:val="24"/>
                <w:szCs w:val="24"/>
              </w:rPr>
            </w:pPr>
            <w:r w:rsidRPr="00F9106E">
              <w:rPr>
                <w:sz w:val="24"/>
                <w:szCs w:val="24"/>
              </w:rPr>
              <w:t xml:space="preserve">4. закупуване на сгради, помещения и други недвижими имоти, необходими за изпълнение на проекта, предназначени за производствени дейности на територията на </w:t>
            </w:r>
            <w:r w:rsidR="002309E9">
              <w:rPr>
                <w:sz w:val="24"/>
                <w:szCs w:val="24"/>
              </w:rPr>
              <w:t>„</w:t>
            </w:r>
            <w:r w:rsidR="000B5FCF">
              <w:rPr>
                <w:sz w:val="24"/>
                <w:szCs w:val="24"/>
              </w:rPr>
              <w:t>МИГ Поморие</w:t>
            </w:r>
            <w:r w:rsidR="002309E9">
              <w:rPr>
                <w:sz w:val="24"/>
                <w:szCs w:val="24"/>
              </w:rPr>
              <w:t>“</w:t>
            </w:r>
            <w:r w:rsidR="000B5FCF">
              <w:rPr>
                <w:sz w:val="24"/>
                <w:szCs w:val="24"/>
              </w:rPr>
              <w:t>.</w:t>
            </w:r>
          </w:p>
          <w:p w14:paraId="66C5EF02" w14:textId="0AD0BE17" w:rsidR="00627EF7" w:rsidRPr="00F9106E" w:rsidRDefault="00627EF7" w:rsidP="00627EF7">
            <w:pPr>
              <w:jc w:val="both"/>
              <w:rPr>
                <w:sz w:val="24"/>
                <w:szCs w:val="24"/>
              </w:rPr>
            </w:pPr>
            <w:r w:rsidRPr="00F9106E">
              <w:rPr>
                <w:sz w:val="24"/>
                <w:szCs w:val="24"/>
              </w:rPr>
              <w:t xml:space="preserve">5. закупуване, включително чрез финансов лизинг, на специализирани транспортни средства, включително хладилни такива, за превоз на суровините </w:t>
            </w:r>
            <w:r w:rsidR="00B802C9">
              <w:rPr>
                <w:sz w:val="24"/>
                <w:szCs w:val="24"/>
              </w:rPr>
              <w:t>и/</w:t>
            </w:r>
            <w:r w:rsidRPr="00F9106E">
              <w:rPr>
                <w:sz w:val="24"/>
                <w:szCs w:val="24"/>
              </w:rPr>
              <w:t>или готовата продукция, използвани и произвеждани от предприятието;</w:t>
            </w:r>
          </w:p>
          <w:p w14:paraId="526F02A2" w14:textId="4A7E3607" w:rsidR="00627EF7" w:rsidRPr="00F9106E" w:rsidRDefault="00627EF7" w:rsidP="00627EF7">
            <w:pPr>
              <w:jc w:val="both"/>
              <w:rPr>
                <w:sz w:val="24"/>
                <w:szCs w:val="24"/>
              </w:rPr>
            </w:pPr>
            <w:r w:rsidRPr="00F9106E">
              <w:rPr>
                <w:sz w:val="24"/>
                <w:szCs w:val="24"/>
              </w:rPr>
              <w:t>6. изграждане/модернизиране, включително оборудване на лаборатории, които са собственост на кандидата, разположени са на територията на предприятието и са пряко свързани с нуждите на производствения процес, включително чрез финансов лизинг;</w:t>
            </w:r>
          </w:p>
          <w:p w14:paraId="07C4D1B4" w14:textId="73303ABE" w:rsidR="00627EF7" w:rsidRPr="00F9106E" w:rsidRDefault="00627EF7" w:rsidP="00627EF7">
            <w:pPr>
              <w:jc w:val="both"/>
              <w:rPr>
                <w:sz w:val="24"/>
                <w:szCs w:val="24"/>
              </w:rPr>
            </w:pPr>
            <w:r w:rsidRPr="00F9106E">
              <w:rPr>
                <w:sz w:val="24"/>
                <w:szCs w:val="24"/>
              </w:rPr>
              <w:t xml:space="preserve">7. материални инвестиции за постигане на съответствие с новоприети стандарти на Съюза </w:t>
            </w:r>
            <w:r w:rsidR="002309E9" w:rsidRPr="002309E9">
              <w:rPr>
                <w:sz w:val="24"/>
                <w:szCs w:val="24"/>
              </w:rPr>
              <w:t>съгласно Приложение № 1, раздел 8.2. от ПРСР</w:t>
            </w:r>
            <w:r w:rsidRPr="00F9106E">
              <w:rPr>
                <w:sz w:val="24"/>
                <w:szCs w:val="24"/>
              </w:rPr>
              <w:t>, включително чрез финансов лизинг;</w:t>
            </w:r>
          </w:p>
          <w:p w14:paraId="24AD997E" w14:textId="77777777" w:rsidR="00627EF7" w:rsidRPr="00F9106E" w:rsidRDefault="00627EF7" w:rsidP="00627EF7">
            <w:pPr>
              <w:jc w:val="both"/>
              <w:rPr>
                <w:sz w:val="24"/>
                <w:szCs w:val="24"/>
              </w:rPr>
            </w:pPr>
            <w:r w:rsidRPr="00F9106E">
              <w:rPr>
                <w:sz w:val="24"/>
                <w:szCs w:val="24"/>
              </w:rPr>
              <w:lastRenderedPageBreak/>
              <w:t>8. разходи за достигане на съответствие с международно признати стандарти за системи за управление, разходи за въвеждане на добри производствени практики, системи за управление на качеството и подготовка за сертификация в предприятията само когато тези разходи са част от общ проект на кандидата;</w:t>
            </w:r>
          </w:p>
          <w:p w14:paraId="32E64BF8" w14:textId="77777777" w:rsidR="00627EF7" w:rsidRPr="00F9106E" w:rsidRDefault="00627EF7" w:rsidP="00627EF7">
            <w:pPr>
              <w:jc w:val="both"/>
              <w:rPr>
                <w:sz w:val="24"/>
                <w:szCs w:val="24"/>
              </w:rPr>
            </w:pPr>
            <w:r w:rsidRPr="00F9106E">
              <w:rPr>
                <w:sz w:val="24"/>
                <w:szCs w:val="24"/>
              </w:rPr>
              <w:t>9. закупуване на софтуер, включително чрез финансов лизинг;</w:t>
            </w:r>
          </w:p>
          <w:p w14:paraId="47FD30BA" w14:textId="77777777" w:rsidR="00627EF7" w:rsidRPr="00F9106E" w:rsidRDefault="00627EF7" w:rsidP="00627EF7">
            <w:pPr>
              <w:jc w:val="both"/>
              <w:rPr>
                <w:sz w:val="24"/>
                <w:szCs w:val="24"/>
              </w:rPr>
            </w:pPr>
            <w:r w:rsidRPr="00F9106E">
              <w:rPr>
                <w:sz w:val="24"/>
                <w:szCs w:val="24"/>
              </w:rPr>
              <w:t>10. за ноу-хау, придобиване на патентни права и лицензи, за регистрация на търговски</w:t>
            </w:r>
            <w:r>
              <w:rPr>
                <w:sz w:val="24"/>
                <w:szCs w:val="24"/>
              </w:rPr>
              <w:t xml:space="preserve"> </w:t>
            </w:r>
            <w:r w:rsidRPr="00F9106E">
              <w:rPr>
                <w:sz w:val="24"/>
                <w:szCs w:val="24"/>
              </w:rPr>
              <w:t>марки и процеси, необходими за изготвяне и изпълнение на проекта;</w:t>
            </w:r>
          </w:p>
          <w:p w14:paraId="57431BEC" w14:textId="46E5A728" w:rsidR="00627EF7" w:rsidRDefault="00627EF7" w:rsidP="002309E9">
            <w:pPr>
              <w:spacing w:before="120"/>
              <w:jc w:val="both"/>
              <w:rPr>
                <w:sz w:val="24"/>
                <w:szCs w:val="24"/>
              </w:rPr>
            </w:pPr>
            <w:r w:rsidRPr="00F9106E">
              <w:rPr>
                <w:sz w:val="24"/>
                <w:szCs w:val="24"/>
              </w:rPr>
              <w:t>11. разходи, свързани с проекта, в т.ч. разходи за предпроектни проучвания, такси, хонорари за архитекти, инженери и консултан</w:t>
            </w:r>
            <w:r>
              <w:rPr>
                <w:sz w:val="24"/>
                <w:szCs w:val="24"/>
              </w:rPr>
              <w:t xml:space="preserve">ти, консултации за икономическа </w:t>
            </w:r>
            <w:r w:rsidRPr="00F9106E">
              <w:rPr>
                <w:sz w:val="24"/>
                <w:szCs w:val="24"/>
              </w:rPr>
              <w:t>устойчивост на проекти, извършени както в процеса на подготовка на проекта преди</w:t>
            </w:r>
            <w:r>
              <w:rPr>
                <w:sz w:val="24"/>
                <w:szCs w:val="24"/>
              </w:rPr>
              <w:t xml:space="preserve"> </w:t>
            </w:r>
            <w:r w:rsidRPr="00F9106E">
              <w:rPr>
                <w:sz w:val="24"/>
                <w:szCs w:val="24"/>
              </w:rPr>
              <w:t>подаване на заявлението за подпомагане, така и по време на неговото изпълнение, които не могат да надхвърлят 12 на сто от общия размер на допустимите разходи по проект, включени в т. 1 - 10.</w:t>
            </w:r>
          </w:p>
          <w:p w14:paraId="6CEEBB3D" w14:textId="5583C44B" w:rsidR="001B5266" w:rsidRPr="001B5266" w:rsidRDefault="001B5266" w:rsidP="001B5266">
            <w:pPr>
              <w:spacing w:before="120"/>
              <w:jc w:val="both"/>
              <w:rPr>
                <w:sz w:val="24"/>
                <w:szCs w:val="24"/>
              </w:rPr>
            </w:pPr>
            <w:r w:rsidRPr="001B5266">
              <w:rPr>
                <w:sz w:val="24"/>
                <w:szCs w:val="24"/>
              </w:rPr>
              <w:t>Консултантските услуги се състоят от разработване на бизнес план, включващ предпроектни изследвания и маркетингови стратегии, извършване на предпроектни проучвания и окомплектоване на пакета от документи и консултантски услуги, свързани с изпълнението и отчитането на дейностите по проекта до изплащане на помощта и не следва да надхвърлят 5 на сто от стойността на допустимите разходи.</w:t>
            </w:r>
          </w:p>
          <w:p w14:paraId="7D4FC6A6" w14:textId="154364EE" w:rsidR="00627EF7" w:rsidRPr="00627EF7" w:rsidRDefault="001B5266" w:rsidP="002309E9">
            <w:pPr>
              <w:spacing w:before="120"/>
              <w:jc w:val="both"/>
              <w:rPr>
                <w:rFonts w:asciiTheme="minorHAnsi" w:eastAsiaTheme="minorHAnsi" w:hAnsiTheme="minorHAnsi" w:cstheme="minorBidi"/>
                <w:sz w:val="24"/>
                <w:szCs w:val="24"/>
                <w:lang w:eastAsia="en-US"/>
              </w:rPr>
            </w:pPr>
            <w:r w:rsidRPr="001B5266">
              <w:rPr>
                <w:sz w:val="24"/>
                <w:szCs w:val="24"/>
              </w:rPr>
              <w:t xml:space="preserve">Дейностите и разходите по проекта, с </w:t>
            </w:r>
            <w:r w:rsidR="000F0BDD">
              <w:rPr>
                <w:sz w:val="24"/>
                <w:szCs w:val="24"/>
              </w:rPr>
              <w:t>изключение на разходите по т. 11</w:t>
            </w:r>
            <w:r w:rsidRPr="001B5266">
              <w:rPr>
                <w:sz w:val="24"/>
                <w:szCs w:val="24"/>
              </w:rPr>
              <w:t>, са допустими, ако са извършени след подаване на заявлението за подпомагане.</w:t>
            </w:r>
          </w:p>
        </w:tc>
      </w:tr>
    </w:tbl>
    <w:p w14:paraId="184885F2" w14:textId="77777777" w:rsidR="00C7091C" w:rsidRDefault="00C7091C" w:rsidP="00B12057">
      <w:pPr>
        <w:pStyle w:val="Heading2"/>
      </w:pPr>
      <w:bookmarkStart w:id="39" w:name="_Toc534292216"/>
      <w:bookmarkStart w:id="40" w:name="_Toc535245604"/>
      <w:bookmarkStart w:id="41" w:name="_Toc535495191"/>
    </w:p>
    <w:p w14:paraId="5F4DCF51" w14:textId="77777777" w:rsidR="00B12057" w:rsidRDefault="00B12057" w:rsidP="00B12057">
      <w:pPr>
        <w:pStyle w:val="Heading2"/>
      </w:pPr>
      <w:r>
        <w:t>14.2. Условия за допустимост на разходите</w:t>
      </w:r>
      <w:bookmarkEnd w:id="39"/>
      <w:bookmarkEnd w:id="40"/>
      <w:bookmarkEnd w:id="41"/>
    </w:p>
    <w:p w14:paraId="143BE70C" w14:textId="2B21F7FF" w:rsidR="00D22CC4" w:rsidRPr="00D22CC4" w:rsidRDefault="00D22CC4" w:rsidP="00D22CC4">
      <w:pPr>
        <w:keepNext/>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r w:rsidRPr="00D22CC4">
        <w:rPr>
          <w:rFonts w:ascii="Times New Roman" w:eastAsia="Times New Roman" w:hAnsi="Times New Roman" w:cs="Times New Roman"/>
          <w:sz w:val="24"/>
          <w:szCs w:val="24"/>
          <w:lang w:eastAsia="bg-BG"/>
        </w:rPr>
        <w:t>Когато разходът</w:t>
      </w:r>
      <w:r>
        <w:rPr>
          <w:rFonts w:ascii="Times New Roman" w:eastAsia="Times New Roman" w:hAnsi="Times New Roman" w:cs="Times New Roman"/>
          <w:sz w:val="24"/>
          <w:szCs w:val="24"/>
          <w:lang w:eastAsia="bg-BG"/>
        </w:rPr>
        <w:t>, за който се кандидатства,</w:t>
      </w:r>
      <w:r w:rsidRPr="00D22CC4">
        <w:rPr>
          <w:rFonts w:ascii="Times New Roman" w:eastAsia="Times New Roman" w:hAnsi="Times New Roman" w:cs="Times New Roman"/>
          <w:sz w:val="24"/>
          <w:szCs w:val="24"/>
          <w:lang w:eastAsia="bg-BG"/>
        </w:rPr>
        <w:t xml:space="preserve"> не е включен в Списъка с активи, дейности и услуги, за които са определени ре</w:t>
      </w:r>
      <w:r w:rsidR="00585129">
        <w:rPr>
          <w:rFonts w:ascii="Times New Roman" w:eastAsia="Times New Roman" w:hAnsi="Times New Roman" w:cs="Times New Roman"/>
          <w:sz w:val="24"/>
          <w:szCs w:val="24"/>
          <w:lang w:eastAsia="bg-BG"/>
        </w:rPr>
        <w:t>ферентни разходи (Приложениe № 26</w:t>
      </w:r>
      <w:r w:rsidR="00585129">
        <w:rPr>
          <w:rFonts w:ascii="Times New Roman" w:eastAsia="Times New Roman" w:hAnsi="Times New Roman" w:cs="Times New Roman"/>
          <w:sz w:val="24"/>
          <w:szCs w:val="24"/>
          <w:lang w:val="en-US" w:eastAsia="bg-BG"/>
        </w:rPr>
        <w:t xml:space="preserve">) </w:t>
      </w:r>
      <w:r w:rsidRPr="00D22CC4">
        <w:rPr>
          <w:rFonts w:ascii="Times New Roman" w:eastAsia="Times New Roman" w:hAnsi="Times New Roman" w:cs="Times New Roman"/>
          <w:sz w:val="24"/>
          <w:szCs w:val="24"/>
          <w:lang w:eastAsia="bg-BG"/>
        </w:rPr>
        <w:t xml:space="preserve">към датата на подаване на проектното предложение, обосноваността на разходите се преценява чрез представяне на най-малко три съпоставими независими оферти в оригинал, по които оферентите трябва да отговарят на следните изисквания: Минималното съдържание на офертите е: наименование на оферента, срок на валидност на офертата, дата на издаване на офертата, подпис и печат на офертата, техническо предложение, ценово предложение в левове с посочен ДДС. Оферентите, когато са местни лица, трябва да са вписани в търговския регистър, а оферентите – чуждестранни лица, следва да представят документ за правосубектност съгласно националното им законодателство. Кандидатът представя </w:t>
      </w:r>
      <w:r w:rsidRPr="00D22CC4">
        <w:rPr>
          <w:rFonts w:ascii="Times New Roman" w:eastAsia="Times New Roman" w:hAnsi="Times New Roman" w:cs="Times New Roman"/>
          <w:sz w:val="24"/>
          <w:szCs w:val="24"/>
          <w:lang w:eastAsia="bg-BG"/>
        </w:rPr>
        <w:lastRenderedPageBreak/>
        <w:t>запитване за оферта по</w:t>
      </w:r>
      <w:r w:rsidR="00216FFC">
        <w:rPr>
          <w:rFonts w:ascii="Times New Roman" w:eastAsia="Times New Roman" w:hAnsi="Times New Roman" w:cs="Times New Roman"/>
          <w:sz w:val="24"/>
          <w:szCs w:val="24"/>
          <w:lang w:eastAsia="bg-BG"/>
        </w:rPr>
        <w:t xml:space="preserve"> образец съгласно приложение № 3</w:t>
      </w:r>
      <w:r w:rsidRPr="00D22CC4">
        <w:rPr>
          <w:rFonts w:ascii="Times New Roman" w:eastAsia="Times New Roman" w:hAnsi="Times New Roman" w:cs="Times New Roman"/>
          <w:sz w:val="24"/>
          <w:szCs w:val="24"/>
          <w:lang w:eastAsia="bg-BG"/>
        </w:rPr>
        <w:t xml:space="preserve"> и Решение за избор на доставчика/изпълнителя.</w:t>
      </w:r>
    </w:p>
    <w:p w14:paraId="591B7074" w14:textId="77777777" w:rsidR="00D22CC4" w:rsidRPr="00D22CC4" w:rsidRDefault="00D22CC4" w:rsidP="00D22CC4">
      <w:pPr>
        <w:keepNext/>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p>
    <w:p w14:paraId="0CB5FBB8" w14:textId="4B78C310" w:rsidR="00D22CC4" w:rsidRPr="00D22CC4" w:rsidRDefault="00D22CC4" w:rsidP="00D22CC4">
      <w:pPr>
        <w:keepNext/>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r w:rsidRPr="00D22CC4">
        <w:rPr>
          <w:rFonts w:ascii="Times New Roman" w:eastAsia="Times New Roman" w:hAnsi="Times New Roman" w:cs="Times New Roman"/>
          <w:sz w:val="24"/>
          <w:szCs w:val="24"/>
          <w:lang w:eastAsia="bg-BG"/>
        </w:rPr>
        <w:t>Когато разходът</w:t>
      </w:r>
      <w:r>
        <w:rPr>
          <w:rFonts w:ascii="Times New Roman" w:eastAsia="Times New Roman" w:hAnsi="Times New Roman" w:cs="Times New Roman"/>
          <w:sz w:val="24"/>
          <w:szCs w:val="24"/>
          <w:lang w:eastAsia="bg-BG"/>
        </w:rPr>
        <w:t>, за който се кандидатства,</w:t>
      </w:r>
      <w:r w:rsidRPr="00D22CC4">
        <w:rPr>
          <w:rFonts w:ascii="Times New Roman" w:eastAsia="Times New Roman" w:hAnsi="Times New Roman" w:cs="Times New Roman"/>
          <w:sz w:val="24"/>
          <w:szCs w:val="24"/>
          <w:lang w:eastAsia="bg-BG"/>
        </w:rPr>
        <w:t xml:space="preserve"> е включен в Списъка с активите, дейностите и услугите, за които са определени референтни разходи </w:t>
      </w:r>
      <w:r w:rsidR="00B17561" w:rsidRPr="00B17561">
        <w:rPr>
          <w:rFonts w:ascii="Times New Roman" w:eastAsia="Times New Roman" w:hAnsi="Times New Roman" w:cs="Times New Roman"/>
          <w:sz w:val="24"/>
          <w:szCs w:val="24"/>
          <w:lang w:eastAsia="bg-BG"/>
        </w:rPr>
        <w:t xml:space="preserve">(Приложениe № 26) </w:t>
      </w:r>
      <w:r w:rsidRPr="00D22CC4">
        <w:rPr>
          <w:rFonts w:ascii="Times New Roman" w:eastAsia="Times New Roman" w:hAnsi="Times New Roman" w:cs="Times New Roman"/>
          <w:sz w:val="24"/>
          <w:szCs w:val="24"/>
          <w:lang w:eastAsia="bg-BG"/>
        </w:rPr>
        <w:t xml:space="preserve"> се представя една независима оферта в оригинал,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w:t>
      </w:r>
    </w:p>
    <w:p w14:paraId="336ED725" w14:textId="77777777" w:rsidR="00D22CC4" w:rsidRDefault="00D22CC4" w:rsidP="00B12057">
      <w:pPr>
        <w:keepNext/>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p>
    <w:p w14:paraId="47173AFB" w14:textId="27331CBC" w:rsidR="00B12057" w:rsidRPr="002F0867" w:rsidRDefault="00B12057" w:rsidP="00B12057">
      <w:pPr>
        <w:keepNext/>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Разходите по т. 11</w:t>
      </w:r>
      <w:r w:rsidRPr="002F0867">
        <w:rPr>
          <w:rFonts w:ascii="Times New Roman" w:eastAsia="Times New Roman" w:hAnsi="Times New Roman" w:cs="Times New Roman"/>
          <w:sz w:val="24"/>
          <w:szCs w:val="24"/>
          <w:lang w:eastAsia="bg-BG"/>
        </w:rPr>
        <w:t xml:space="preserve"> са допустими, ако са извършени не по-рано от 1 януари 2014 г., независимо дали всички свързани с тях плащания са направени.</w:t>
      </w:r>
    </w:p>
    <w:p w14:paraId="613E7FE1" w14:textId="77777777" w:rsidR="00B12057" w:rsidRDefault="00B12057" w:rsidP="00B12057">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p>
    <w:p w14:paraId="35BCCCA1" w14:textId="04280019" w:rsidR="00B12057" w:rsidRPr="002F0867" w:rsidRDefault="00B12057" w:rsidP="00B12057">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r w:rsidRPr="002F0867">
        <w:rPr>
          <w:rFonts w:ascii="Times New Roman" w:eastAsia="Times New Roman" w:hAnsi="Times New Roman" w:cs="Times New Roman"/>
          <w:sz w:val="24"/>
          <w:szCs w:val="24"/>
          <w:lang w:eastAsia="bg-BG"/>
        </w:rPr>
        <w:t>Дейностите и разходите по проекта с</w:t>
      </w:r>
      <w:r>
        <w:rPr>
          <w:rFonts w:ascii="Times New Roman" w:eastAsia="Times New Roman" w:hAnsi="Times New Roman" w:cs="Times New Roman"/>
          <w:sz w:val="24"/>
          <w:szCs w:val="24"/>
          <w:lang w:eastAsia="bg-BG"/>
        </w:rPr>
        <w:t xml:space="preserve"> изключение на разходите по т. 1</w:t>
      </w:r>
      <w:r w:rsidR="00335AD7">
        <w:rPr>
          <w:rFonts w:ascii="Times New Roman" w:eastAsia="Times New Roman" w:hAnsi="Times New Roman" w:cs="Times New Roman"/>
          <w:sz w:val="24"/>
          <w:szCs w:val="24"/>
          <w:lang w:eastAsia="bg-BG"/>
        </w:rPr>
        <w:t>1</w:t>
      </w:r>
      <w:r w:rsidRPr="002F0867">
        <w:rPr>
          <w:rFonts w:ascii="Times New Roman" w:eastAsia="Times New Roman" w:hAnsi="Times New Roman" w:cs="Times New Roman"/>
          <w:sz w:val="24"/>
          <w:szCs w:val="24"/>
          <w:lang w:eastAsia="bg-BG"/>
        </w:rPr>
        <w:t xml:space="preserve"> са допустими, ако са </w:t>
      </w:r>
      <w:r w:rsidRPr="002F0867">
        <w:rPr>
          <w:rFonts w:ascii="Times New Roman" w:eastAsia="Times New Roman" w:hAnsi="Times New Roman" w:cs="Times New Roman"/>
          <w:b/>
          <w:sz w:val="24"/>
          <w:szCs w:val="24"/>
          <w:lang w:eastAsia="bg-BG"/>
        </w:rPr>
        <w:t>извършени след подаване на проектното предложение</w:t>
      </w:r>
      <w:r w:rsidRPr="002F0867">
        <w:rPr>
          <w:rFonts w:ascii="Times New Roman" w:eastAsia="Times New Roman" w:hAnsi="Times New Roman" w:cs="Times New Roman"/>
          <w:sz w:val="24"/>
          <w:szCs w:val="24"/>
          <w:lang w:eastAsia="bg-BG"/>
        </w:rPr>
        <w:t>, независимо дали всички свързани с тях плащания са направени.</w:t>
      </w:r>
    </w:p>
    <w:p w14:paraId="270319ED" w14:textId="77777777" w:rsidR="00B12057" w:rsidRDefault="00B12057" w:rsidP="00B12057">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p>
    <w:p w14:paraId="3D065FFB" w14:textId="77777777" w:rsidR="00B12057" w:rsidRPr="002F0867" w:rsidRDefault="00B12057" w:rsidP="00B12057">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r w:rsidRPr="002F0867">
        <w:rPr>
          <w:rFonts w:ascii="Times New Roman" w:eastAsia="Times New Roman" w:hAnsi="Times New Roman" w:cs="Times New Roman"/>
          <w:sz w:val="24"/>
          <w:szCs w:val="24"/>
          <w:lang w:eastAsia="bg-BG"/>
        </w:rPr>
        <w:t xml:space="preserve">Закупуването </w:t>
      </w:r>
      <w:r w:rsidRPr="002F0867">
        <w:rPr>
          <w:rFonts w:ascii="Times New Roman" w:eastAsia="Times New Roman" w:hAnsi="Times New Roman" w:cs="Times New Roman"/>
          <w:b/>
          <w:sz w:val="24"/>
          <w:szCs w:val="24"/>
          <w:lang w:eastAsia="bg-BG"/>
        </w:rPr>
        <w:t>чрез финансов лизинг</w:t>
      </w:r>
      <w:r w:rsidRPr="002F0867">
        <w:rPr>
          <w:rFonts w:ascii="Times New Roman" w:eastAsia="Times New Roman" w:hAnsi="Times New Roman" w:cs="Times New Roman"/>
          <w:sz w:val="24"/>
          <w:szCs w:val="24"/>
          <w:lang w:eastAsia="bg-BG"/>
        </w:rPr>
        <w:t xml:space="preserve"> на активите е допустимо, при условие че ползвателят на помощта стане собственик на съответния актив не по-късно от датата на подаване на искането за междинно или окончателно плащане за същия актив.</w:t>
      </w:r>
    </w:p>
    <w:p w14:paraId="389CF394" w14:textId="77777777" w:rsidR="00B12057" w:rsidRDefault="00B12057" w:rsidP="00B12057">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p>
    <w:p w14:paraId="783954F8" w14:textId="17B51781" w:rsidR="00B12057" w:rsidRPr="002F0867" w:rsidRDefault="00B12057" w:rsidP="00B12057">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 разходите по т. 1</w:t>
      </w:r>
      <w:r w:rsidR="00717B0E">
        <w:rPr>
          <w:rFonts w:ascii="Times New Roman" w:eastAsia="Times New Roman" w:hAnsi="Times New Roman" w:cs="Times New Roman"/>
          <w:sz w:val="24"/>
          <w:szCs w:val="24"/>
          <w:lang w:eastAsia="bg-BG"/>
        </w:rPr>
        <w:t>1</w:t>
      </w:r>
      <w:r w:rsidRPr="002F0867">
        <w:rPr>
          <w:rFonts w:ascii="Times New Roman" w:eastAsia="Times New Roman" w:hAnsi="Times New Roman" w:cs="Times New Roman"/>
          <w:sz w:val="24"/>
          <w:szCs w:val="24"/>
          <w:lang w:eastAsia="bg-BG"/>
        </w:rPr>
        <w:t>, извършени преди датата на подаване на проектното предложение, кандидатите (като възложители по чл. 5 и 6 от ЗОП), при подаване на проектното предложение представят заверено от възложителя копие на всички документи от проведената съгласно изискванията на ЗОП процедура за възлагане на обществена поръчка. Обосноваността на разхода се преценява чрез съпоставяне с определени референтни разходи.</w:t>
      </w:r>
    </w:p>
    <w:p w14:paraId="4A7DB6FD" w14:textId="77777777" w:rsidR="00B12057" w:rsidRDefault="00B12057" w:rsidP="00B12057">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p>
    <w:p w14:paraId="779C95A2" w14:textId="0F3808E1" w:rsidR="00645264" w:rsidRPr="007713C1" w:rsidRDefault="00627EF7" w:rsidP="007570DC">
      <w:pPr>
        <w:pStyle w:val="Heading2"/>
      </w:pPr>
      <w:bookmarkStart w:id="42" w:name="_Toc445385595"/>
      <w:bookmarkStart w:id="43" w:name="_Toc535495192"/>
      <w:r>
        <w:t>14.</w:t>
      </w:r>
      <w:r w:rsidR="00B12057">
        <w:t>3</w:t>
      </w:r>
      <w:r w:rsidR="00645264" w:rsidRPr="007713C1">
        <w:t>. Недопустими разходи</w:t>
      </w:r>
      <w:bookmarkEnd w:id="42"/>
      <w:bookmarkEnd w:id="43"/>
    </w:p>
    <w:tbl>
      <w:tblPr>
        <w:tblStyle w:val="TableGrid"/>
        <w:tblW w:w="0" w:type="auto"/>
        <w:tblLook w:val="04A0" w:firstRow="1" w:lastRow="0" w:firstColumn="1" w:lastColumn="0" w:noHBand="0" w:noVBand="1"/>
      </w:tblPr>
      <w:tblGrid>
        <w:gridCol w:w="9346"/>
      </w:tblGrid>
      <w:tr w:rsidR="00645264" w:rsidRPr="007713C1" w14:paraId="3180B71C" w14:textId="77777777" w:rsidTr="00645264">
        <w:tc>
          <w:tcPr>
            <w:tcW w:w="9496" w:type="dxa"/>
          </w:tcPr>
          <w:p w14:paraId="4D254F7A"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1. за лихви по дългове;</w:t>
            </w:r>
          </w:p>
          <w:p w14:paraId="2B66DD41"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2. за закупуването на незастроени и застроени земи на стойност над 10 на сто от общите допустими разходи за съответната операция;</w:t>
            </w:r>
          </w:p>
          <w:p w14:paraId="2442C99A"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3. за данък върху добавената стойност освен невъзстановимия;</w:t>
            </w:r>
          </w:p>
          <w:p w14:paraId="313CDB42"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4. за обикновена подмяна и поддръжка;</w:t>
            </w:r>
          </w:p>
          <w:p w14:paraId="06B4434E" w14:textId="77777777" w:rsidR="00614131"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lastRenderedPageBreak/>
              <w:t>5. за лихви и комисиони, печалба на лизинговата компания, разходи по лихви за рефинансиране, оперативни и застрахователни разходи по лизингов договор, за банкови такси, разходи за гаранции;</w:t>
            </w:r>
          </w:p>
          <w:p w14:paraId="4C86B006"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6. за лизинг освен финансов лизинг, при който получателят на помощта става собственик на съответния актив не по-късно от датата на подаване на заявка за междинно или окончателно плащане за същия актив;</w:t>
            </w:r>
          </w:p>
          <w:p w14:paraId="661BA1DB"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7. за режийни разходи;</w:t>
            </w:r>
          </w:p>
          <w:p w14:paraId="4D1D39EE"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8. за застраховки;</w:t>
            </w:r>
          </w:p>
          <w:p w14:paraId="75444476"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9. за закупуване на оборудване втора употреба;</w:t>
            </w:r>
          </w:p>
          <w:p w14:paraId="57035D60"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10. извършени преди 1 януари 2014 г.;</w:t>
            </w:r>
          </w:p>
          <w:p w14:paraId="3722051E"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11. за принос в натура;</w:t>
            </w:r>
          </w:p>
          <w:p w14:paraId="2F2B1030"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12. за инвестиции в селското стопанство -закупуване на права за производство и плащане, закупуване на животни, закупуване на едногодишни растения и тяхното засаждане;</w:t>
            </w:r>
          </w:p>
          <w:p w14:paraId="2218D56F" w14:textId="15B35A8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13. за инвестиция, за която е установено, че ще оказва отрицателно въздействие върху околната среда;</w:t>
            </w:r>
          </w:p>
          <w:p w14:paraId="2DC0CE8E"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14. извършени преди подаването на заявлението за предоставяне на финансова помощ, независимо дали всички свързани плащания са извършени, с изключение на разходите за предпроектни проучвания, такси, възнаграждение на архитекти, инженери и консултантски услуги, извършени след 1 януари 2014 г.;</w:t>
            </w:r>
          </w:p>
          <w:p w14:paraId="58C0DF26" w14:textId="77777777" w:rsidR="00E9046C" w:rsidRPr="00E9046C" w:rsidRDefault="00E9046C" w:rsidP="00CD6823">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15. за строително-монтажни работи и за създаване на трайни насаждения, извършени преди посещение на място от МИГ</w:t>
            </w:r>
            <w:r w:rsidR="00B32714">
              <w:rPr>
                <w:rFonts w:eastAsiaTheme="minorHAnsi"/>
                <w:color w:val="000000"/>
                <w:sz w:val="24"/>
                <w:szCs w:val="24"/>
                <w:lang w:eastAsia="en-US"/>
              </w:rPr>
              <w:t>;</w:t>
            </w:r>
          </w:p>
          <w:p w14:paraId="7A3D8C2B" w14:textId="2541AC0C" w:rsid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1</w:t>
            </w:r>
            <w:r w:rsidR="00CD6823">
              <w:rPr>
                <w:rFonts w:eastAsiaTheme="minorHAnsi"/>
                <w:color w:val="000000"/>
                <w:sz w:val="24"/>
                <w:szCs w:val="24"/>
                <w:lang w:eastAsia="en-US"/>
              </w:rPr>
              <w:t>6</w:t>
            </w:r>
            <w:r w:rsidRPr="00E9046C">
              <w:rPr>
                <w:rFonts w:eastAsiaTheme="minorHAnsi"/>
                <w:color w:val="000000"/>
                <w:sz w:val="24"/>
                <w:szCs w:val="24"/>
                <w:lang w:eastAsia="en-US"/>
              </w:rPr>
              <w:t xml:space="preserve">. </w:t>
            </w:r>
            <w:r w:rsidR="002836E3" w:rsidRPr="002836E3">
              <w:rPr>
                <w:rFonts w:eastAsiaTheme="minorHAnsi"/>
                <w:color w:val="000000"/>
                <w:sz w:val="24"/>
                <w:szCs w:val="24"/>
                <w:lang w:eastAsia="en-US"/>
              </w:rPr>
              <w:t>изследвания за разработване на нови продукти, процеси и технологии;</w:t>
            </w:r>
          </w:p>
          <w:p w14:paraId="1F839DFF" w14:textId="1750F4EA" w:rsidR="002E1D10" w:rsidRDefault="002E1D10" w:rsidP="00E9046C">
            <w:pPr>
              <w:tabs>
                <w:tab w:val="left" w:pos="0"/>
              </w:tabs>
              <w:jc w:val="both"/>
              <w:rPr>
                <w:rFonts w:eastAsiaTheme="minorHAnsi"/>
                <w:color w:val="000000"/>
                <w:sz w:val="24"/>
                <w:szCs w:val="24"/>
                <w:lang w:eastAsia="en-US"/>
              </w:rPr>
            </w:pPr>
            <w:r>
              <w:rPr>
                <w:rFonts w:eastAsiaTheme="minorHAnsi"/>
                <w:color w:val="000000"/>
                <w:sz w:val="24"/>
                <w:szCs w:val="24"/>
                <w:lang w:eastAsia="en-US"/>
              </w:rPr>
              <w:t>17. търговия на дребно;</w:t>
            </w:r>
          </w:p>
          <w:p w14:paraId="17D06E1B" w14:textId="04A6C0C1" w:rsidR="002E1D10" w:rsidRDefault="002E1D10" w:rsidP="00E9046C">
            <w:pPr>
              <w:tabs>
                <w:tab w:val="left" w:pos="0"/>
              </w:tabs>
              <w:jc w:val="both"/>
              <w:rPr>
                <w:rFonts w:eastAsiaTheme="minorHAnsi"/>
                <w:color w:val="000000"/>
                <w:sz w:val="24"/>
                <w:szCs w:val="24"/>
                <w:lang w:eastAsia="en-US"/>
              </w:rPr>
            </w:pPr>
            <w:r>
              <w:rPr>
                <w:rFonts w:eastAsiaTheme="minorHAnsi"/>
                <w:color w:val="000000"/>
                <w:sz w:val="24"/>
                <w:szCs w:val="24"/>
                <w:lang w:eastAsia="en-US"/>
              </w:rPr>
              <w:t xml:space="preserve">18. </w:t>
            </w:r>
            <w:r w:rsidRPr="002E1D10">
              <w:rPr>
                <w:rFonts w:eastAsiaTheme="minorHAnsi"/>
                <w:color w:val="000000"/>
                <w:sz w:val="24"/>
                <w:szCs w:val="24"/>
                <w:lang w:eastAsia="en-US"/>
              </w:rPr>
              <w:t>сертификация по НАССР (Анализ на опасностите и контрол на критичните точки) и по други международно признати стандарти;</w:t>
            </w:r>
          </w:p>
          <w:p w14:paraId="0C3D570D" w14:textId="2420F865" w:rsidR="002E1D10" w:rsidRDefault="002E1D10" w:rsidP="00E9046C">
            <w:pPr>
              <w:tabs>
                <w:tab w:val="left" w:pos="0"/>
              </w:tabs>
              <w:jc w:val="both"/>
              <w:rPr>
                <w:rFonts w:eastAsiaTheme="minorHAnsi"/>
                <w:color w:val="000000"/>
                <w:sz w:val="24"/>
                <w:szCs w:val="24"/>
                <w:lang w:eastAsia="en-US"/>
              </w:rPr>
            </w:pPr>
            <w:r>
              <w:rPr>
                <w:rFonts w:eastAsiaTheme="minorHAnsi"/>
                <w:color w:val="000000"/>
                <w:sz w:val="24"/>
                <w:szCs w:val="24"/>
                <w:lang w:eastAsia="en-US"/>
              </w:rPr>
              <w:t xml:space="preserve">19. </w:t>
            </w:r>
            <w:r w:rsidRPr="002E1D10">
              <w:rPr>
                <w:rFonts w:eastAsiaTheme="minorHAnsi"/>
                <w:color w:val="000000"/>
                <w:sz w:val="24"/>
                <w:szCs w:val="24"/>
                <w:lang w:eastAsia="en-US"/>
              </w:rPr>
              <w:t>закупуване на нови машини и оборудване, вкл. компютърен софтуер, над пазарната им стойност;</w:t>
            </w:r>
          </w:p>
          <w:p w14:paraId="1FE5F54A" w14:textId="53FFCD02" w:rsidR="002E1D10" w:rsidRDefault="002E1D10" w:rsidP="00E9046C">
            <w:pPr>
              <w:tabs>
                <w:tab w:val="left" w:pos="0"/>
              </w:tabs>
              <w:jc w:val="both"/>
              <w:rPr>
                <w:rFonts w:eastAsiaTheme="minorHAnsi"/>
                <w:color w:val="000000"/>
                <w:sz w:val="24"/>
                <w:szCs w:val="24"/>
                <w:lang w:eastAsia="en-US"/>
              </w:rPr>
            </w:pPr>
            <w:r>
              <w:rPr>
                <w:rFonts w:eastAsiaTheme="minorHAnsi"/>
                <w:color w:val="000000"/>
                <w:sz w:val="24"/>
                <w:szCs w:val="24"/>
                <w:lang w:eastAsia="en-US"/>
              </w:rPr>
              <w:t>20. плащания в брой;</w:t>
            </w:r>
          </w:p>
          <w:p w14:paraId="17689740" w14:textId="7F9FADB4" w:rsidR="002E1D10" w:rsidRPr="00E9046C" w:rsidRDefault="002E1D10" w:rsidP="00E9046C">
            <w:pPr>
              <w:tabs>
                <w:tab w:val="left" w:pos="0"/>
              </w:tabs>
              <w:jc w:val="both"/>
              <w:rPr>
                <w:rFonts w:eastAsiaTheme="minorHAnsi"/>
                <w:color w:val="000000"/>
                <w:sz w:val="24"/>
                <w:szCs w:val="24"/>
                <w:lang w:eastAsia="en-US"/>
              </w:rPr>
            </w:pPr>
            <w:r>
              <w:rPr>
                <w:rFonts w:eastAsiaTheme="minorHAnsi"/>
                <w:color w:val="000000"/>
                <w:sz w:val="24"/>
                <w:szCs w:val="24"/>
                <w:lang w:eastAsia="en-US"/>
              </w:rPr>
              <w:t xml:space="preserve">21. </w:t>
            </w:r>
            <w:r w:rsidRPr="002E1D10">
              <w:rPr>
                <w:rFonts w:eastAsiaTheme="minorHAnsi"/>
                <w:color w:val="000000"/>
                <w:sz w:val="24"/>
                <w:szCs w:val="24"/>
                <w:lang w:eastAsia="en-US"/>
              </w:rPr>
              <w:t>инвестиции, за които са установени изкуствено създадени условия за получаване на помощта, с цел осъществяване на предимство в противоречие с целите на мярката;</w:t>
            </w:r>
          </w:p>
          <w:p w14:paraId="263745E2" w14:textId="0EF75806" w:rsidR="00F4784F" w:rsidRPr="00F4784F" w:rsidRDefault="002708B7" w:rsidP="0016683A">
            <w:pPr>
              <w:autoSpaceDE w:val="0"/>
              <w:autoSpaceDN w:val="0"/>
              <w:adjustRightInd w:val="0"/>
              <w:rPr>
                <w:sz w:val="24"/>
                <w:szCs w:val="24"/>
              </w:rPr>
            </w:pPr>
            <w:r>
              <w:rPr>
                <w:rFonts w:eastAsiaTheme="minorHAnsi"/>
                <w:color w:val="000000"/>
                <w:sz w:val="24"/>
                <w:szCs w:val="24"/>
                <w:lang w:eastAsia="en-US"/>
              </w:rPr>
              <w:t>2</w:t>
            </w:r>
            <w:r w:rsidR="0016683A">
              <w:rPr>
                <w:rFonts w:eastAsiaTheme="minorHAnsi"/>
                <w:color w:val="000000"/>
                <w:sz w:val="24"/>
                <w:szCs w:val="24"/>
                <w:lang w:eastAsia="en-US"/>
              </w:rPr>
              <w:t>2</w:t>
            </w:r>
            <w:r>
              <w:rPr>
                <w:rFonts w:eastAsiaTheme="minorHAnsi"/>
                <w:color w:val="000000"/>
                <w:sz w:val="24"/>
                <w:szCs w:val="24"/>
                <w:lang w:eastAsia="en-US"/>
              </w:rPr>
              <w:t xml:space="preserve">. </w:t>
            </w:r>
            <w:r w:rsidRPr="00E9046C">
              <w:rPr>
                <w:rFonts w:eastAsiaTheme="minorHAnsi"/>
                <w:color w:val="000000"/>
                <w:sz w:val="24"/>
                <w:szCs w:val="24"/>
                <w:lang w:eastAsia="en-US"/>
              </w:rPr>
              <w:t>други недопустими за финансиране разходи, определени в Постановление № 1</w:t>
            </w:r>
            <w:r>
              <w:rPr>
                <w:rFonts w:eastAsiaTheme="minorHAnsi"/>
                <w:color w:val="000000"/>
                <w:sz w:val="24"/>
                <w:szCs w:val="24"/>
                <w:lang w:eastAsia="en-US"/>
              </w:rPr>
              <w:t>8</w:t>
            </w:r>
            <w:r w:rsidRPr="00E9046C">
              <w:rPr>
                <w:rFonts w:eastAsiaTheme="minorHAnsi"/>
                <w:color w:val="000000"/>
                <w:sz w:val="24"/>
                <w:szCs w:val="24"/>
                <w:lang w:eastAsia="en-US"/>
              </w:rPr>
              <w:t>9 от 201</w:t>
            </w:r>
            <w:r>
              <w:rPr>
                <w:rFonts w:eastAsiaTheme="minorHAnsi"/>
                <w:color w:val="000000"/>
                <w:sz w:val="24"/>
                <w:szCs w:val="24"/>
                <w:lang w:eastAsia="en-US"/>
              </w:rPr>
              <w:t>6</w:t>
            </w:r>
            <w:r w:rsidRPr="00E9046C">
              <w:rPr>
                <w:rFonts w:eastAsiaTheme="minorHAnsi"/>
                <w:color w:val="000000"/>
                <w:sz w:val="24"/>
                <w:szCs w:val="24"/>
                <w:lang w:eastAsia="en-US"/>
              </w:rPr>
              <w:t xml:space="preserve"> г. на Министерския съвет</w:t>
            </w:r>
            <w:r>
              <w:rPr>
                <w:rFonts w:eastAsiaTheme="minorHAnsi"/>
                <w:color w:val="000000"/>
                <w:sz w:val="24"/>
                <w:szCs w:val="24"/>
                <w:lang w:eastAsia="en-US"/>
              </w:rPr>
              <w:t>.</w:t>
            </w:r>
          </w:p>
        </w:tc>
      </w:tr>
    </w:tbl>
    <w:p w14:paraId="0A38F5FD" w14:textId="77777777" w:rsidR="00C6537B" w:rsidRDefault="00C6537B" w:rsidP="007570DC">
      <w:pPr>
        <w:pStyle w:val="Heading1"/>
      </w:pPr>
      <w:bookmarkStart w:id="44" w:name="_Toc445385596"/>
      <w:bookmarkStart w:id="45" w:name="_Toc535495193"/>
    </w:p>
    <w:p w14:paraId="31FD7601" w14:textId="77777777" w:rsidR="00CB14EE" w:rsidRPr="007713C1" w:rsidRDefault="001D09EC" w:rsidP="007570DC">
      <w:pPr>
        <w:pStyle w:val="Heading1"/>
      </w:pPr>
      <w:r w:rsidRPr="007713C1">
        <w:t>15. Допустими целеви групи :</w:t>
      </w:r>
      <w:bookmarkEnd w:id="44"/>
      <w:bookmarkEnd w:id="45"/>
    </w:p>
    <w:tbl>
      <w:tblPr>
        <w:tblStyle w:val="TableGrid"/>
        <w:tblW w:w="0" w:type="auto"/>
        <w:tblLook w:val="04A0" w:firstRow="1" w:lastRow="0" w:firstColumn="1" w:lastColumn="0" w:noHBand="0" w:noVBand="1"/>
      </w:tblPr>
      <w:tblGrid>
        <w:gridCol w:w="9346"/>
      </w:tblGrid>
      <w:tr w:rsidR="001D09EC" w:rsidRPr="007713C1" w14:paraId="445DE00C" w14:textId="77777777" w:rsidTr="001D09EC">
        <w:tc>
          <w:tcPr>
            <w:tcW w:w="9496" w:type="dxa"/>
          </w:tcPr>
          <w:p w14:paraId="63A4CD1E" w14:textId="77777777" w:rsidR="001D09EC" w:rsidRPr="00C121D8" w:rsidRDefault="00B33636" w:rsidP="00C121D8">
            <w:pPr>
              <w:rPr>
                <w:sz w:val="24"/>
                <w:szCs w:val="24"/>
              </w:rPr>
            </w:pPr>
            <w:bookmarkStart w:id="46" w:name="_Toc481750872"/>
            <w:bookmarkStart w:id="47" w:name="_Toc481751367"/>
            <w:r w:rsidRPr="00C121D8">
              <w:rPr>
                <w:sz w:val="24"/>
                <w:szCs w:val="24"/>
              </w:rPr>
              <w:t>Неприложимо.</w:t>
            </w:r>
            <w:bookmarkEnd w:id="46"/>
            <w:bookmarkEnd w:id="47"/>
          </w:p>
        </w:tc>
      </w:tr>
    </w:tbl>
    <w:p w14:paraId="60795CCC" w14:textId="77777777" w:rsidR="00E93FF3" w:rsidRDefault="00E93FF3" w:rsidP="007570DC">
      <w:pPr>
        <w:pStyle w:val="Heading1"/>
      </w:pPr>
      <w:bookmarkStart w:id="48" w:name="_Toc445385601"/>
      <w:bookmarkStart w:id="49" w:name="_Toc535495194"/>
    </w:p>
    <w:p w14:paraId="2AE9E224" w14:textId="77777777" w:rsidR="00E93FF3" w:rsidRDefault="00E93FF3" w:rsidP="007570DC">
      <w:pPr>
        <w:pStyle w:val="Heading1"/>
      </w:pPr>
    </w:p>
    <w:p w14:paraId="6995455C" w14:textId="77777777" w:rsidR="00E93FF3" w:rsidRDefault="00E93FF3" w:rsidP="007570DC">
      <w:pPr>
        <w:pStyle w:val="Heading1"/>
      </w:pPr>
    </w:p>
    <w:p w14:paraId="606918A1" w14:textId="111F6063" w:rsidR="001D09EC" w:rsidRPr="007713C1" w:rsidRDefault="004D4ED8" w:rsidP="007570DC">
      <w:pPr>
        <w:pStyle w:val="Heading1"/>
      </w:pPr>
      <w:r>
        <w:lastRenderedPageBreak/>
        <w:t xml:space="preserve">16. Приложим режим на </w:t>
      </w:r>
      <w:r w:rsidR="009B4E4D" w:rsidRPr="007713C1">
        <w:t>държавни помощи:</w:t>
      </w:r>
      <w:bookmarkEnd w:id="48"/>
      <w:bookmarkEnd w:id="49"/>
    </w:p>
    <w:tbl>
      <w:tblPr>
        <w:tblStyle w:val="TableGrid"/>
        <w:tblW w:w="0" w:type="auto"/>
        <w:tblLook w:val="04A0" w:firstRow="1" w:lastRow="0" w:firstColumn="1" w:lastColumn="0" w:noHBand="0" w:noVBand="1"/>
      </w:tblPr>
      <w:tblGrid>
        <w:gridCol w:w="9346"/>
      </w:tblGrid>
      <w:tr w:rsidR="009B4E4D" w:rsidRPr="007713C1" w14:paraId="2129C1CE" w14:textId="77777777" w:rsidTr="009B4E4D">
        <w:tc>
          <w:tcPr>
            <w:tcW w:w="9496" w:type="dxa"/>
          </w:tcPr>
          <w:p w14:paraId="0DF2E59D" w14:textId="7F9B1368" w:rsidR="00643073" w:rsidRPr="00B2490F" w:rsidRDefault="00643073" w:rsidP="00643073">
            <w:pPr>
              <w:jc w:val="both"/>
              <w:rPr>
                <w:b/>
                <w:i/>
                <w:sz w:val="24"/>
                <w:szCs w:val="24"/>
              </w:rPr>
            </w:pPr>
            <w:r w:rsidRPr="00643073">
              <w:rPr>
                <w:b/>
                <w:i/>
                <w:sz w:val="24"/>
                <w:szCs w:val="24"/>
              </w:rPr>
              <w:t>1.</w:t>
            </w:r>
            <w:r w:rsidRPr="00643073">
              <w:rPr>
                <w:b/>
                <w:i/>
                <w:sz w:val="24"/>
                <w:szCs w:val="24"/>
              </w:rPr>
              <w:tab/>
              <w:t>Финансово подпомагане за „Инвестиции, свързани с преработка на селскостопански продукти и търговията със селскостопански продукти“, за продуктите описани в приложение № І по чл. 38 от ДФЕС.</w:t>
            </w:r>
          </w:p>
          <w:p w14:paraId="3A5F5ED9" w14:textId="77777777" w:rsidR="00643073" w:rsidRPr="00643073" w:rsidRDefault="00643073" w:rsidP="00B2490F">
            <w:pPr>
              <w:spacing w:before="120"/>
              <w:jc w:val="both"/>
              <w:rPr>
                <w:sz w:val="24"/>
                <w:szCs w:val="24"/>
              </w:rPr>
            </w:pPr>
            <w:r w:rsidRPr="00643073">
              <w:rPr>
                <w:sz w:val="24"/>
                <w:szCs w:val="24"/>
              </w:rPr>
              <w:t>Финансовото подпомагане за дейностите по подмярката попада в обхвата на чл. 42 от ДФЕС, в който е определено, че поради спецификата на селскостопанския сектор правилата за конкуренцията се прилагат по отношение на производството и търговията със селскостопански продукти само доколкото това е решено от Европейския парламент и Съвета.</w:t>
            </w:r>
          </w:p>
          <w:p w14:paraId="77C6881D" w14:textId="77777777" w:rsidR="00643073" w:rsidRPr="00643073" w:rsidRDefault="00643073" w:rsidP="00643073">
            <w:pPr>
              <w:jc w:val="both"/>
              <w:rPr>
                <w:sz w:val="24"/>
                <w:szCs w:val="24"/>
              </w:rPr>
            </w:pPr>
            <w:r w:rsidRPr="00643073">
              <w:rPr>
                <w:sz w:val="24"/>
                <w:szCs w:val="24"/>
              </w:rPr>
              <w:t xml:space="preserve">По отношение на подпомагането за развитие на селските райони основните принципи за приложимост на правилата за държавни помощи са изложени в чл. 81 и 82 от Регламент № 1305/2013. </w:t>
            </w:r>
          </w:p>
          <w:p w14:paraId="1660C636" w14:textId="77777777" w:rsidR="00643073" w:rsidRPr="00643073" w:rsidRDefault="00643073" w:rsidP="00643073">
            <w:pPr>
              <w:jc w:val="both"/>
              <w:rPr>
                <w:sz w:val="24"/>
                <w:szCs w:val="24"/>
              </w:rPr>
            </w:pPr>
            <w:r w:rsidRPr="00643073">
              <w:rPr>
                <w:sz w:val="24"/>
                <w:szCs w:val="24"/>
              </w:rPr>
              <w:t>Съгласно чл. 81, параграф 2 от Регламент № 1305/2013 правилата за държавната помощ не се прилагат по отношение на плащанията, извършвани от държавите членки съгласно Регламент (ЕС) № 1305/2013 на Европейския парламент и на Съвета, нито по отношение на допълнителното национално финансиране, попадащо в обхвата на чл. 42 от ДФЕС.</w:t>
            </w:r>
          </w:p>
          <w:p w14:paraId="19A0BAE5" w14:textId="77777777" w:rsidR="00643073" w:rsidRPr="00643073" w:rsidRDefault="00643073" w:rsidP="00643073">
            <w:pPr>
              <w:jc w:val="both"/>
              <w:rPr>
                <w:sz w:val="24"/>
                <w:szCs w:val="24"/>
              </w:rPr>
            </w:pPr>
          </w:p>
          <w:p w14:paraId="462E9C49" w14:textId="6E6EA22C" w:rsidR="00643073" w:rsidRPr="00643073" w:rsidRDefault="00643073" w:rsidP="00B2490F">
            <w:pPr>
              <w:shd w:val="clear" w:color="auto" w:fill="E7E6E6" w:themeFill="background2"/>
              <w:jc w:val="both"/>
              <w:rPr>
                <w:sz w:val="24"/>
                <w:szCs w:val="24"/>
              </w:rPr>
            </w:pPr>
            <w:r w:rsidRPr="00643073">
              <w:rPr>
                <w:sz w:val="24"/>
                <w:szCs w:val="24"/>
              </w:rPr>
              <w:t xml:space="preserve">Финансовото подпомагане за преработка на продукти, описани в приложение № I по чл. 38 от ДФЕС </w:t>
            </w:r>
            <w:r w:rsidRPr="00B2490F">
              <w:rPr>
                <w:b/>
                <w:sz w:val="24"/>
                <w:szCs w:val="24"/>
              </w:rPr>
              <w:t>няма да представлява „държавна помощ“</w:t>
            </w:r>
            <w:r w:rsidRPr="00643073">
              <w:rPr>
                <w:sz w:val="24"/>
                <w:szCs w:val="24"/>
              </w:rPr>
              <w:t xml:space="preserve"> по смисъла на чл. 107, параграф 1 от ДФЕС. </w:t>
            </w:r>
          </w:p>
          <w:p w14:paraId="3B1FDBD9" w14:textId="77777777" w:rsidR="00B2490F" w:rsidRDefault="00B2490F" w:rsidP="00B2490F">
            <w:pPr>
              <w:jc w:val="both"/>
              <w:rPr>
                <w:sz w:val="24"/>
                <w:szCs w:val="24"/>
              </w:rPr>
            </w:pPr>
          </w:p>
          <w:p w14:paraId="15339A18" w14:textId="5041D731" w:rsidR="00B2490F" w:rsidRPr="00B2490F" w:rsidRDefault="00B2490F" w:rsidP="00B2490F">
            <w:pPr>
              <w:jc w:val="both"/>
              <w:rPr>
                <w:b/>
                <w:i/>
                <w:sz w:val="24"/>
                <w:szCs w:val="24"/>
              </w:rPr>
            </w:pPr>
            <w:r w:rsidRPr="00B2490F">
              <w:rPr>
                <w:b/>
                <w:i/>
                <w:sz w:val="24"/>
                <w:szCs w:val="24"/>
              </w:rPr>
              <w:t>2.</w:t>
            </w:r>
            <w:r w:rsidRPr="00B2490F">
              <w:rPr>
                <w:b/>
                <w:i/>
                <w:sz w:val="24"/>
                <w:szCs w:val="24"/>
              </w:rPr>
              <w:tab/>
              <w:t>Финансово подпомагане за „Инвестиции в преработка/ маркетинг на селскостопански продукти“ за предприятия за преработка на продукти от Приложение І в продукти извън Приложение І на ДФЕС.</w:t>
            </w:r>
          </w:p>
          <w:p w14:paraId="77AB35A6" w14:textId="77777777" w:rsidR="00B2490F" w:rsidRPr="00B2490F" w:rsidRDefault="00B2490F" w:rsidP="00B2490F">
            <w:pPr>
              <w:spacing w:before="120"/>
              <w:jc w:val="both"/>
              <w:rPr>
                <w:sz w:val="24"/>
                <w:szCs w:val="24"/>
              </w:rPr>
            </w:pPr>
            <w:r w:rsidRPr="00B2490F">
              <w:rPr>
                <w:sz w:val="24"/>
                <w:szCs w:val="24"/>
              </w:rPr>
              <w:t>Финансовото подпомагане за дейностите по подмярката не попада в обхвата на чл. 42 от ДФЕС, в който е определено, че поради спецификата на селскостопанския сектор правилата за конкуренцията се прилагат по отношение на производството и търговията със селскостопански продукти само доколкото това е решено от Европейския парламент и Съвета.</w:t>
            </w:r>
          </w:p>
          <w:p w14:paraId="7E362493" w14:textId="77777777" w:rsidR="00B2490F" w:rsidRPr="00B2490F" w:rsidRDefault="00B2490F" w:rsidP="00B2490F">
            <w:pPr>
              <w:jc w:val="both"/>
              <w:rPr>
                <w:sz w:val="24"/>
                <w:szCs w:val="24"/>
              </w:rPr>
            </w:pPr>
            <w:r w:rsidRPr="00B2490F">
              <w:rPr>
                <w:sz w:val="24"/>
                <w:szCs w:val="24"/>
              </w:rPr>
              <w:t>Съгласно чл. 44 от Регламент (ЕС) № 702/2014 помощта е определена като съвместима с вътрешния пазар по смисъла на чл. 107, параграф 3, буква „в“ от ДФЕС и е освободена от задължението за уведомяване по чл. 108, параграф 3 от него, тъй като изпълнява условията, определени в параграфи 2 – 10 от този член и в глава I от ДФЕС.</w:t>
            </w:r>
          </w:p>
          <w:p w14:paraId="20E99900" w14:textId="77777777" w:rsidR="00B2490F" w:rsidRDefault="00B2490F" w:rsidP="00B2490F">
            <w:pPr>
              <w:jc w:val="both"/>
              <w:rPr>
                <w:sz w:val="24"/>
                <w:szCs w:val="24"/>
              </w:rPr>
            </w:pPr>
            <w:r w:rsidRPr="00B2490F">
              <w:rPr>
                <w:sz w:val="24"/>
                <w:szCs w:val="24"/>
              </w:rPr>
              <w:t>България, като държава-член е спазила изискването на чл. 9 параграф 1 от Регламент (ЕС) № 702/2014 и е получила идентификационен номер на</w:t>
            </w:r>
            <w:r>
              <w:rPr>
                <w:sz w:val="24"/>
                <w:szCs w:val="24"/>
              </w:rPr>
              <w:t xml:space="preserve"> помощта - SA 43542 (2015/XA).</w:t>
            </w:r>
          </w:p>
          <w:p w14:paraId="6F0923CD" w14:textId="77777777" w:rsidR="006057DA" w:rsidRDefault="006057DA" w:rsidP="00B2490F">
            <w:pPr>
              <w:jc w:val="both"/>
              <w:rPr>
                <w:sz w:val="24"/>
                <w:szCs w:val="24"/>
              </w:rPr>
            </w:pPr>
          </w:p>
          <w:p w14:paraId="114CBFB9" w14:textId="7CA18CA7" w:rsidR="00B2490F" w:rsidRPr="006057DA" w:rsidRDefault="006057DA" w:rsidP="00B2490F">
            <w:pPr>
              <w:jc w:val="both"/>
              <w:rPr>
                <w:sz w:val="24"/>
                <w:szCs w:val="24"/>
              </w:rPr>
            </w:pPr>
            <w:r w:rsidRPr="006057DA">
              <w:rPr>
                <w:sz w:val="24"/>
                <w:szCs w:val="24"/>
              </w:rPr>
              <w:t>К</w:t>
            </w:r>
            <w:r w:rsidR="00B2490F" w:rsidRPr="006057DA">
              <w:rPr>
                <w:sz w:val="24"/>
                <w:szCs w:val="24"/>
              </w:rPr>
              <w:t>андидатите за финансова помощ, чиито инвестиции попадат в обхват</w:t>
            </w:r>
            <w:r>
              <w:rPr>
                <w:sz w:val="24"/>
                <w:szCs w:val="24"/>
              </w:rPr>
              <w:t>а на т.2</w:t>
            </w:r>
            <w:r w:rsidR="00B2490F" w:rsidRPr="006057DA">
              <w:rPr>
                <w:sz w:val="24"/>
                <w:szCs w:val="24"/>
              </w:rPr>
              <w:t xml:space="preserve"> </w:t>
            </w:r>
            <w:r>
              <w:rPr>
                <w:sz w:val="24"/>
                <w:szCs w:val="24"/>
              </w:rPr>
              <w:t xml:space="preserve">следва </w:t>
            </w:r>
            <w:r w:rsidR="00B2490F" w:rsidRPr="006057DA">
              <w:rPr>
                <w:sz w:val="24"/>
                <w:szCs w:val="24"/>
              </w:rPr>
              <w:t xml:space="preserve">да </w:t>
            </w:r>
            <w:r w:rsidR="00B2490F" w:rsidRPr="00750B33">
              <w:rPr>
                <w:sz w:val="24"/>
                <w:szCs w:val="24"/>
              </w:rPr>
              <w:t xml:space="preserve">представят декларация за размера </w:t>
            </w:r>
            <w:r w:rsidR="00BB5520">
              <w:rPr>
                <w:sz w:val="24"/>
                <w:szCs w:val="24"/>
              </w:rPr>
              <w:t xml:space="preserve">на получените </w:t>
            </w:r>
            <w:r w:rsidR="0026680E">
              <w:rPr>
                <w:sz w:val="24"/>
                <w:szCs w:val="24"/>
              </w:rPr>
              <w:t xml:space="preserve">минимални и </w:t>
            </w:r>
            <w:r w:rsidR="00BB5520">
              <w:rPr>
                <w:sz w:val="24"/>
                <w:szCs w:val="24"/>
              </w:rPr>
              <w:t>държавни помощи (</w:t>
            </w:r>
            <w:r w:rsidR="00AD74FB" w:rsidRPr="00750B33">
              <w:rPr>
                <w:sz w:val="24"/>
                <w:szCs w:val="24"/>
              </w:rPr>
              <w:t xml:space="preserve">Приложение № </w:t>
            </w:r>
            <w:r w:rsidR="0026680E">
              <w:rPr>
                <w:sz w:val="24"/>
                <w:szCs w:val="24"/>
              </w:rPr>
              <w:t>12</w:t>
            </w:r>
            <w:r w:rsidR="006A29C5">
              <w:rPr>
                <w:sz w:val="24"/>
                <w:szCs w:val="24"/>
              </w:rPr>
              <w:t>).</w:t>
            </w:r>
          </w:p>
          <w:p w14:paraId="67E39721" w14:textId="1734D87A" w:rsidR="00CE6DFD" w:rsidRPr="00714D13" w:rsidRDefault="00CE6DFD" w:rsidP="00234B4A">
            <w:pPr>
              <w:jc w:val="both"/>
              <w:rPr>
                <w:sz w:val="24"/>
                <w:szCs w:val="24"/>
              </w:rPr>
            </w:pPr>
          </w:p>
        </w:tc>
      </w:tr>
    </w:tbl>
    <w:p w14:paraId="59FCB621" w14:textId="77777777" w:rsidR="009B4E4D" w:rsidRPr="007713C1" w:rsidRDefault="00F21DA5" w:rsidP="007570DC">
      <w:pPr>
        <w:pStyle w:val="Heading1"/>
      </w:pPr>
      <w:bookmarkStart w:id="50" w:name="_Toc445385602"/>
      <w:bookmarkStart w:id="51" w:name="_Toc535495195"/>
      <w:r w:rsidRPr="007713C1">
        <w:lastRenderedPageBreak/>
        <w:t>17. Хоризонтални политики</w:t>
      </w:r>
      <w:r w:rsidR="00C6489D" w:rsidRPr="007713C1">
        <w:t>:</w:t>
      </w:r>
      <w:bookmarkEnd w:id="50"/>
      <w:bookmarkEnd w:id="51"/>
    </w:p>
    <w:tbl>
      <w:tblPr>
        <w:tblStyle w:val="TableGrid"/>
        <w:tblW w:w="0" w:type="auto"/>
        <w:tblLook w:val="04A0" w:firstRow="1" w:lastRow="0" w:firstColumn="1" w:lastColumn="0" w:noHBand="0" w:noVBand="1"/>
      </w:tblPr>
      <w:tblGrid>
        <w:gridCol w:w="9346"/>
      </w:tblGrid>
      <w:tr w:rsidR="00C6489D" w:rsidRPr="007713C1" w14:paraId="6DD5EC6D" w14:textId="77777777" w:rsidTr="00C6489D">
        <w:tc>
          <w:tcPr>
            <w:tcW w:w="9496" w:type="dxa"/>
          </w:tcPr>
          <w:p w14:paraId="3F4ECA55" w14:textId="77777777" w:rsidR="00156E8C" w:rsidRPr="00156E8C" w:rsidRDefault="00156E8C" w:rsidP="00156E8C">
            <w:pPr>
              <w:pStyle w:val="ListParagraph"/>
              <w:spacing w:before="120" w:after="120"/>
              <w:jc w:val="both"/>
              <w:rPr>
                <w:sz w:val="24"/>
                <w:szCs w:val="24"/>
              </w:rPr>
            </w:pPr>
            <w:r w:rsidRPr="00156E8C">
              <w:rPr>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14:paraId="4CB504A2" w14:textId="77777777" w:rsidR="00156E8C" w:rsidRPr="00156E8C" w:rsidRDefault="00156E8C" w:rsidP="00156E8C">
            <w:pPr>
              <w:pStyle w:val="ListParagraph"/>
              <w:spacing w:before="120" w:after="120"/>
              <w:jc w:val="both"/>
              <w:rPr>
                <w:sz w:val="24"/>
                <w:szCs w:val="24"/>
              </w:rPr>
            </w:pPr>
          </w:p>
          <w:p w14:paraId="577F87F4" w14:textId="77777777" w:rsidR="00156E8C" w:rsidRPr="00156E8C" w:rsidRDefault="00156E8C" w:rsidP="00156E8C">
            <w:pPr>
              <w:pStyle w:val="ListParagraph"/>
              <w:spacing w:before="120" w:after="120"/>
              <w:jc w:val="both"/>
              <w:rPr>
                <w:sz w:val="24"/>
                <w:szCs w:val="24"/>
              </w:rPr>
            </w:pPr>
            <w:r w:rsidRPr="00156E8C">
              <w:rPr>
                <w:sz w:val="24"/>
                <w:szCs w:val="24"/>
              </w:rPr>
              <w:t>1. Равенство между половете и липса на дискриминация</w:t>
            </w:r>
          </w:p>
          <w:p w14:paraId="528F71F5" w14:textId="77777777" w:rsidR="00156E8C" w:rsidRPr="00156E8C" w:rsidRDefault="00156E8C" w:rsidP="00156E8C">
            <w:pPr>
              <w:pStyle w:val="ListParagraph"/>
              <w:spacing w:before="120" w:after="120"/>
              <w:jc w:val="both"/>
              <w:rPr>
                <w:sz w:val="24"/>
                <w:szCs w:val="24"/>
              </w:rPr>
            </w:pPr>
          </w:p>
          <w:p w14:paraId="6413A76F" w14:textId="77777777" w:rsidR="00156E8C" w:rsidRPr="00156E8C" w:rsidRDefault="00156E8C" w:rsidP="00156E8C">
            <w:pPr>
              <w:pStyle w:val="ListParagraph"/>
              <w:spacing w:before="120" w:after="120"/>
              <w:jc w:val="both"/>
              <w:rPr>
                <w:sz w:val="24"/>
                <w:szCs w:val="24"/>
              </w:rPr>
            </w:pPr>
            <w:r w:rsidRPr="00156E8C">
              <w:rPr>
                <w:sz w:val="24"/>
                <w:szCs w:val="24"/>
              </w:rPr>
              <w:t>При изпълнението на проектните дейности бенефициентите следва да спазват принципите на равнопоставеността на половете и на равните възможности – т.е. при изпълнението на проектните дейности не трябва да бъдат поставяни ограничения, основани на пол, раса, народност, етническа принадлежност,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 др.</w:t>
            </w:r>
          </w:p>
          <w:p w14:paraId="610B2896" w14:textId="77777777" w:rsidR="00156E8C" w:rsidRPr="00156E8C" w:rsidRDefault="00156E8C" w:rsidP="00156E8C">
            <w:pPr>
              <w:pStyle w:val="ListParagraph"/>
              <w:spacing w:before="120" w:after="120"/>
              <w:jc w:val="both"/>
              <w:rPr>
                <w:sz w:val="24"/>
                <w:szCs w:val="24"/>
              </w:rPr>
            </w:pPr>
          </w:p>
          <w:p w14:paraId="0420E57A" w14:textId="77777777" w:rsidR="00156E8C" w:rsidRPr="00156E8C" w:rsidRDefault="00156E8C" w:rsidP="00156E8C">
            <w:pPr>
              <w:pStyle w:val="ListParagraph"/>
              <w:spacing w:before="120" w:after="120"/>
              <w:jc w:val="both"/>
              <w:rPr>
                <w:sz w:val="24"/>
                <w:szCs w:val="24"/>
              </w:rPr>
            </w:pPr>
            <w:r w:rsidRPr="00156E8C">
              <w:rPr>
                <w:sz w:val="24"/>
                <w:szCs w:val="24"/>
              </w:rPr>
              <w:t>2. Устойчиво развитие (защита на околната среда)</w:t>
            </w:r>
          </w:p>
          <w:p w14:paraId="7D102AC5" w14:textId="77777777" w:rsidR="00156E8C" w:rsidRPr="00156E8C" w:rsidRDefault="00156E8C" w:rsidP="00156E8C">
            <w:pPr>
              <w:pStyle w:val="ListParagraph"/>
              <w:spacing w:before="120" w:after="120"/>
              <w:jc w:val="both"/>
              <w:rPr>
                <w:sz w:val="24"/>
                <w:szCs w:val="24"/>
              </w:rPr>
            </w:pPr>
          </w:p>
          <w:p w14:paraId="7045C345" w14:textId="77777777" w:rsidR="00156E8C" w:rsidRPr="00156E8C" w:rsidRDefault="00156E8C" w:rsidP="00156E8C">
            <w:pPr>
              <w:pStyle w:val="ListParagraph"/>
              <w:spacing w:before="120" w:after="120"/>
              <w:jc w:val="both"/>
              <w:rPr>
                <w:sz w:val="24"/>
                <w:szCs w:val="24"/>
              </w:rPr>
            </w:pPr>
            <w:r w:rsidRPr="00156E8C">
              <w:rPr>
                <w:sz w:val="24"/>
                <w:szCs w:val="24"/>
              </w:rPr>
              <w:t>Проектните предложения е желателно да бъдат насочени към постигането на устойчивост и опазване на околната среда. При избора на проекти за финансиране ще се дисквалифицират проекти, които имат негативно въздействие върху някой от компонентите на околната среда. Изпълнение на дейностите по мярката се допуска при спазване на националното природозащитно законодателство и след получаването на всички предвидени по закон разрешителни от компетентните органи.</w:t>
            </w:r>
          </w:p>
          <w:p w14:paraId="3F612A13" w14:textId="77777777" w:rsidR="00156E8C" w:rsidRPr="00156E8C" w:rsidRDefault="00156E8C" w:rsidP="00156E8C">
            <w:pPr>
              <w:pStyle w:val="ListParagraph"/>
              <w:spacing w:before="120" w:after="120"/>
              <w:jc w:val="both"/>
              <w:rPr>
                <w:sz w:val="24"/>
                <w:szCs w:val="24"/>
              </w:rPr>
            </w:pPr>
          </w:p>
          <w:p w14:paraId="0D97E60F" w14:textId="77777777" w:rsidR="00156E8C" w:rsidRPr="00156E8C" w:rsidRDefault="00156E8C" w:rsidP="00156E8C">
            <w:pPr>
              <w:pStyle w:val="ListParagraph"/>
              <w:spacing w:before="120" w:after="120"/>
              <w:jc w:val="both"/>
              <w:rPr>
                <w:sz w:val="24"/>
                <w:szCs w:val="24"/>
              </w:rPr>
            </w:pPr>
            <w:r w:rsidRPr="00156E8C">
              <w:rPr>
                <w:sz w:val="24"/>
                <w:szCs w:val="24"/>
              </w:rPr>
              <w:t>3. Насърчаване на заетостта и конкурентоспособността</w:t>
            </w:r>
          </w:p>
          <w:p w14:paraId="1761880C" w14:textId="77777777" w:rsidR="00156E8C" w:rsidRPr="00156E8C" w:rsidRDefault="00156E8C" w:rsidP="00156E8C">
            <w:pPr>
              <w:pStyle w:val="ListParagraph"/>
              <w:spacing w:before="120" w:after="120"/>
              <w:jc w:val="both"/>
              <w:rPr>
                <w:sz w:val="24"/>
                <w:szCs w:val="24"/>
              </w:rPr>
            </w:pPr>
          </w:p>
          <w:p w14:paraId="13ACE97D" w14:textId="77777777" w:rsidR="00156E8C" w:rsidRPr="00156E8C" w:rsidRDefault="00156E8C" w:rsidP="00156E8C">
            <w:pPr>
              <w:pStyle w:val="ListParagraph"/>
              <w:spacing w:before="120" w:after="120"/>
              <w:jc w:val="both"/>
              <w:rPr>
                <w:sz w:val="24"/>
                <w:szCs w:val="24"/>
              </w:rPr>
            </w:pPr>
            <w:r w:rsidRPr="00156E8C">
              <w:rPr>
                <w:sz w:val="24"/>
                <w:szCs w:val="24"/>
              </w:rPr>
              <w:t xml:space="preserve">Целите, подцелите и приоритетите на СВОМР са директно насочени към насърчаване на заетостта и конкурентоспособността на територията на МИГ Поморие. Стимулира се диферсифицирането на икономическите дейности и обвързването им с устойчиви практики. </w:t>
            </w:r>
          </w:p>
          <w:p w14:paraId="6B860B91" w14:textId="77777777" w:rsidR="00156E8C" w:rsidRPr="00156E8C" w:rsidRDefault="00156E8C" w:rsidP="00156E8C">
            <w:pPr>
              <w:pStyle w:val="ListParagraph"/>
              <w:spacing w:before="120" w:after="120"/>
              <w:jc w:val="both"/>
              <w:rPr>
                <w:sz w:val="24"/>
                <w:szCs w:val="24"/>
              </w:rPr>
            </w:pPr>
          </w:p>
          <w:p w14:paraId="23F7A086" w14:textId="1076AB7F" w:rsidR="00401464" w:rsidRPr="00401464" w:rsidRDefault="00156E8C" w:rsidP="00156E8C">
            <w:pPr>
              <w:pStyle w:val="ListParagraph"/>
              <w:spacing w:before="120" w:after="120"/>
              <w:ind w:left="0"/>
              <w:contextualSpacing w:val="0"/>
              <w:jc w:val="both"/>
              <w:rPr>
                <w:sz w:val="24"/>
                <w:szCs w:val="24"/>
              </w:rPr>
            </w:pPr>
            <w:r w:rsidRPr="00156E8C">
              <w:rPr>
                <w:sz w:val="24"/>
                <w:szCs w:val="24"/>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 Прилагането на заложените в проекта принципи ще се проследява на етап изпълнение на проектното предложение.</w:t>
            </w:r>
          </w:p>
        </w:tc>
      </w:tr>
    </w:tbl>
    <w:p w14:paraId="0472CB46" w14:textId="77777777" w:rsidR="00E93FF3" w:rsidRDefault="00E93FF3" w:rsidP="007570DC">
      <w:pPr>
        <w:pStyle w:val="Heading1"/>
      </w:pPr>
      <w:bookmarkStart w:id="52" w:name="_Toc445385607"/>
      <w:bookmarkStart w:id="53" w:name="_Toc535495196"/>
    </w:p>
    <w:p w14:paraId="42ECE052" w14:textId="77777777" w:rsidR="00E93FF3" w:rsidRDefault="00E93FF3" w:rsidP="007570DC">
      <w:pPr>
        <w:pStyle w:val="Heading1"/>
      </w:pPr>
    </w:p>
    <w:p w14:paraId="42DBF0D5" w14:textId="77777777" w:rsidR="004728F6" w:rsidRPr="007713C1" w:rsidRDefault="004728F6" w:rsidP="007570DC">
      <w:pPr>
        <w:pStyle w:val="Heading1"/>
      </w:pPr>
      <w:r w:rsidRPr="007713C1">
        <w:lastRenderedPageBreak/>
        <w:t>18. Минимален и максимален срок за изпълнение на проекта:</w:t>
      </w:r>
      <w:bookmarkEnd w:id="52"/>
      <w:bookmarkEnd w:id="53"/>
    </w:p>
    <w:tbl>
      <w:tblPr>
        <w:tblStyle w:val="TableGrid"/>
        <w:tblW w:w="0" w:type="auto"/>
        <w:tblLook w:val="04A0" w:firstRow="1" w:lastRow="0" w:firstColumn="1" w:lastColumn="0" w:noHBand="0" w:noVBand="1"/>
      </w:tblPr>
      <w:tblGrid>
        <w:gridCol w:w="9346"/>
      </w:tblGrid>
      <w:tr w:rsidR="00922478" w:rsidRPr="007713C1" w14:paraId="1D5ED454" w14:textId="77777777" w:rsidTr="00156E8C">
        <w:tc>
          <w:tcPr>
            <w:tcW w:w="9464" w:type="dxa"/>
          </w:tcPr>
          <w:p w14:paraId="22DE5A02" w14:textId="77777777" w:rsidR="00482E38" w:rsidRPr="00D420CE" w:rsidRDefault="00482E38" w:rsidP="00482E38">
            <w:pPr>
              <w:spacing w:before="120" w:after="120"/>
              <w:jc w:val="both"/>
              <w:rPr>
                <w:sz w:val="24"/>
                <w:szCs w:val="24"/>
              </w:rPr>
            </w:pPr>
            <w:r w:rsidRPr="00D420CE">
              <w:rPr>
                <w:sz w:val="24"/>
                <w:szCs w:val="24"/>
              </w:rPr>
              <w:t>Продължителността на изпълнение на всеки проект не следва да надвишава 36 месеца.</w:t>
            </w:r>
          </w:p>
          <w:p w14:paraId="382277E8" w14:textId="3BDD28C6" w:rsidR="00C73460" w:rsidRPr="007713C1" w:rsidRDefault="00482E38" w:rsidP="00482E38">
            <w:pPr>
              <w:spacing w:before="120" w:after="120"/>
              <w:jc w:val="both"/>
              <w:rPr>
                <w:sz w:val="24"/>
                <w:szCs w:val="24"/>
              </w:rPr>
            </w:pPr>
            <w:r w:rsidRPr="00D420CE">
              <w:rPr>
                <w:sz w:val="24"/>
                <w:szCs w:val="24"/>
              </w:rPr>
              <w:t>Крайният срок за изпълнение на дейностите по проектите към стратегията за ВОМР</w:t>
            </w:r>
            <w:r w:rsidR="00E93FF3">
              <w:rPr>
                <w:sz w:val="24"/>
                <w:szCs w:val="24"/>
              </w:rPr>
              <w:t xml:space="preserve"> на МИГ Поморие е до 30 юни 2025</w:t>
            </w:r>
            <w:r w:rsidRPr="00D420CE">
              <w:rPr>
                <w:sz w:val="24"/>
                <w:szCs w:val="24"/>
              </w:rPr>
              <w:t xml:space="preserve"> г.</w:t>
            </w:r>
          </w:p>
        </w:tc>
      </w:tr>
    </w:tbl>
    <w:p w14:paraId="7434F636" w14:textId="77777777" w:rsidR="000F7193" w:rsidRPr="00D137FE" w:rsidRDefault="000F7193" w:rsidP="000F7193">
      <w:pPr>
        <w:pStyle w:val="Heading1"/>
      </w:pPr>
      <w:bookmarkStart w:id="54" w:name="_Toc505614659"/>
      <w:bookmarkStart w:id="55" w:name="_Toc506212300"/>
      <w:bookmarkStart w:id="56" w:name="_Toc535495197"/>
      <w:bookmarkStart w:id="57" w:name="_Toc445385608"/>
      <w:r w:rsidRPr="00D137FE">
        <w:t>19. Ред за оценяване на концепциите за проектни предложения:</w:t>
      </w:r>
      <w:bookmarkEnd w:id="54"/>
      <w:bookmarkEnd w:id="55"/>
      <w:bookmarkEnd w:id="56"/>
    </w:p>
    <w:tbl>
      <w:tblPr>
        <w:tblStyle w:val="TableGrid"/>
        <w:tblW w:w="9606" w:type="dxa"/>
        <w:tblLook w:val="04A0" w:firstRow="1" w:lastRow="0" w:firstColumn="1" w:lastColumn="0" w:noHBand="0" w:noVBand="1"/>
      </w:tblPr>
      <w:tblGrid>
        <w:gridCol w:w="9606"/>
      </w:tblGrid>
      <w:tr w:rsidR="000F7193" w:rsidRPr="00BE42E8" w14:paraId="71D7E909" w14:textId="77777777" w:rsidTr="00156E8C">
        <w:tc>
          <w:tcPr>
            <w:tcW w:w="9606" w:type="dxa"/>
          </w:tcPr>
          <w:p w14:paraId="2ED66470" w14:textId="77777777" w:rsidR="000F7193" w:rsidRPr="00D137FE" w:rsidRDefault="000F7193" w:rsidP="000F7193">
            <w:pPr>
              <w:rPr>
                <w:sz w:val="24"/>
                <w:szCs w:val="24"/>
              </w:rPr>
            </w:pPr>
            <w:r w:rsidRPr="00D137FE">
              <w:rPr>
                <w:sz w:val="24"/>
                <w:szCs w:val="24"/>
              </w:rPr>
              <w:t>Неприложимо</w:t>
            </w:r>
          </w:p>
        </w:tc>
      </w:tr>
    </w:tbl>
    <w:p w14:paraId="1A41F9D6" w14:textId="77777777" w:rsidR="00EF6157" w:rsidRPr="00EF6157" w:rsidRDefault="00EF6157" w:rsidP="00EF6157">
      <w:bookmarkStart w:id="58" w:name="_Toc505614660"/>
      <w:bookmarkStart w:id="59" w:name="_Toc506212301"/>
    </w:p>
    <w:p w14:paraId="031401FF" w14:textId="77777777" w:rsidR="000F7193" w:rsidRPr="00D137FE" w:rsidRDefault="000F7193" w:rsidP="000F7193">
      <w:pPr>
        <w:pStyle w:val="Heading1"/>
      </w:pPr>
      <w:bookmarkStart w:id="60" w:name="_Toc535495198"/>
      <w:r w:rsidRPr="00D137FE">
        <w:t>20. Критерии и методика за оценка на концепциите за проектни предложения:</w:t>
      </w:r>
      <w:bookmarkEnd w:id="58"/>
      <w:bookmarkEnd w:id="59"/>
      <w:bookmarkEnd w:id="60"/>
    </w:p>
    <w:tbl>
      <w:tblPr>
        <w:tblStyle w:val="TableGrid"/>
        <w:tblW w:w="9606" w:type="dxa"/>
        <w:tblLook w:val="04A0" w:firstRow="1" w:lastRow="0" w:firstColumn="1" w:lastColumn="0" w:noHBand="0" w:noVBand="1"/>
      </w:tblPr>
      <w:tblGrid>
        <w:gridCol w:w="9606"/>
      </w:tblGrid>
      <w:tr w:rsidR="000F7193" w:rsidRPr="00BE42E8" w14:paraId="7BA0DF7B" w14:textId="77777777" w:rsidTr="00316792">
        <w:tc>
          <w:tcPr>
            <w:tcW w:w="9606" w:type="dxa"/>
          </w:tcPr>
          <w:p w14:paraId="319D53B4" w14:textId="77777777" w:rsidR="000F7193" w:rsidRPr="00D137FE" w:rsidRDefault="000F7193" w:rsidP="000F7193">
            <w:pPr>
              <w:rPr>
                <w:sz w:val="24"/>
                <w:szCs w:val="24"/>
              </w:rPr>
            </w:pPr>
            <w:r w:rsidRPr="00D137FE">
              <w:rPr>
                <w:sz w:val="24"/>
                <w:szCs w:val="24"/>
              </w:rPr>
              <w:t>Неприложимо</w:t>
            </w:r>
          </w:p>
        </w:tc>
      </w:tr>
    </w:tbl>
    <w:p w14:paraId="7CAA8386" w14:textId="77777777" w:rsidR="00B55D2D" w:rsidRDefault="00B55D2D" w:rsidP="00B55D2D">
      <w:pPr>
        <w:pStyle w:val="Heading1"/>
      </w:pPr>
      <w:bookmarkStart w:id="61" w:name="_Toc445385611"/>
      <w:bookmarkEnd w:id="57"/>
    </w:p>
    <w:p w14:paraId="3484A703" w14:textId="77777777" w:rsidR="00B55D2D" w:rsidRDefault="00B55D2D" w:rsidP="00B55D2D">
      <w:pPr>
        <w:pStyle w:val="Heading1"/>
      </w:pPr>
      <w:bookmarkStart w:id="62" w:name="_Toc535245612"/>
      <w:bookmarkStart w:id="63" w:name="_Toc535495199"/>
      <w:r>
        <w:t>21</w:t>
      </w:r>
      <w:r w:rsidRPr="007713C1">
        <w:t xml:space="preserve">. </w:t>
      </w:r>
      <w:bookmarkStart w:id="64" w:name="_Toc445385610"/>
      <w:r w:rsidRPr="007713C1">
        <w:t>Ред за оценяване на проектните предложения:</w:t>
      </w:r>
      <w:bookmarkEnd w:id="62"/>
      <w:bookmarkEnd w:id="63"/>
      <w:bookmarkEnd w:id="64"/>
    </w:p>
    <w:p w14:paraId="6007F754" w14:textId="77777777" w:rsidR="00B55D2D" w:rsidRDefault="00B55D2D" w:rsidP="00402F8E">
      <w:pPr>
        <w:pBdr>
          <w:top w:val="single" w:sz="4" w:space="1" w:color="auto"/>
          <w:left w:val="single" w:sz="4" w:space="5"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bg-BG"/>
        </w:rPr>
      </w:pPr>
      <w:r w:rsidRPr="00B05E07">
        <w:rPr>
          <w:rFonts w:ascii="Times New Roman" w:eastAsia="Times New Roman" w:hAnsi="Times New Roman" w:cs="Times New Roman"/>
          <w:sz w:val="24"/>
          <w:szCs w:val="24"/>
          <w:lang w:eastAsia="bg-BG"/>
        </w:rPr>
        <w:t xml:space="preserve">1. Оценката на проектните предложения се извършва при спазване на реда </w:t>
      </w:r>
      <w:r>
        <w:rPr>
          <w:rFonts w:ascii="Times New Roman" w:eastAsia="Times New Roman" w:hAnsi="Times New Roman" w:cs="Times New Roman"/>
          <w:sz w:val="24"/>
          <w:szCs w:val="24"/>
          <w:lang w:eastAsia="bg-BG"/>
        </w:rPr>
        <w:t xml:space="preserve">за оценка на проектни предложения по Програма за развитие на селските райони 2014-2020 г. на СНЦ „МИГ Поморие“, публикуван на следния адрес: </w:t>
      </w:r>
      <w:hyperlink r:id="rId8" w:history="1">
        <w:r w:rsidRPr="005E0DE1">
          <w:rPr>
            <w:rStyle w:val="Hyperlink"/>
            <w:rFonts w:ascii="Times New Roman" w:eastAsia="Times New Roman" w:hAnsi="Times New Roman" w:cs="Times New Roman"/>
            <w:sz w:val="24"/>
            <w:szCs w:val="24"/>
            <w:lang w:eastAsia="bg-BG"/>
          </w:rPr>
          <w:t>http://arhiv2.mig-pomorie.eu/%D1%80%D0%B5%D0%B4-%D0%B7%D0%B0-%D0%BE%D1%86%D0%B5%D0%BD%D0%BA%D0%B0</w:t>
        </w:r>
      </w:hyperlink>
      <w:r>
        <w:rPr>
          <w:rFonts w:ascii="Times New Roman" w:eastAsia="Times New Roman" w:hAnsi="Times New Roman" w:cs="Times New Roman"/>
          <w:sz w:val="24"/>
          <w:szCs w:val="24"/>
          <w:lang w:eastAsia="bg-BG"/>
        </w:rPr>
        <w:t xml:space="preserve"> </w:t>
      </w:r>
    </w:p>
    <w:p w14:paraId="2CA8382B" w14:textId="77777777" w:rsidR="00B55D2D" w:rsidRPr="00B05E07" w:rsidRDefault="00B55D2D" w:rsidP="00402F8E">
      <w:pPr>
        <w:pBdr>
          <w:top w:val="single" w:sz="4" w:space="1" w:color="auto"/>
          <w:left w:val="single" w:sz="4" w:space="5"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bg-BG"/>
        </w:rPr>
      </w:pPr>
    </w:p>
    <w:p w14:paraId="4C7F9D9E" w14:textId="77777777" w:rsidR="00B55D2D" w:rsidRDefault="00B55D2D" w:rsidP="00402F8E">
      <w:pPr>
        <w:pBdr>
          <w:top w:val="single" w:sz="4" w:space="1" w:color="auto"/>
          <w:left w:val="single" w:sz="4" w:space="5"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bg-BG"/>
        </w:rPr>
      </w:pPr>
      <w:r w:rsidRPr="00B05E07">
        <w:rPr>
          <w:rFonts w:ascii="Times New Roman" w:eastAsia="Times New Roman" w:hAnsi="Times New Roman" w:cs="Times New Roman"/>
          <w:sz w:val="24"/>
          <w:szCs w:val="24"/>
          <w:lang w:eastAsia="bg-BG"/>
        </w:rPr>
        <w:t>2. Оценката на проектните предложения включва:</w:t>
      </w:r>
    </w:p>
    <w:p w14:paraId="06620C09" w14:textId="77777777" w:rsidR="001A1631" w:rsidRPr="00B05E07" w:rsidRDefault="001A1631" w:rsidP="00402F8E">
      <w:pPr>
        <w:pBdr>
          <w:top w:val="single" w:sz="4" w:space="1" w:color="auto"/>
          <w:left w:val="single" w:sz="4" w:space="5"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bg-BG"/>
        </w:rPr>
      </w:pPr>
    </w:p>
    <w:p w14:paraId="56CE81A0" w14:textId="77777777" w:rsidR="00B55D2D" w:rsidRPr="00B05E07" w:rsidRDefault="00B55D2D" w:rsidP="00402F8E">
      <w:pPr>
        <w:pBdr>
          <w:top w:val="single" w:sz="4" w:space="1" w:color="auto"/>
          <w:left w:val="single" w:sz="4" w:space="5"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bg-BG"/>
        </w:rPr>
      </w:pPr>
      <w:r w:rsidRPr="00B05E07">
        <w:rPr>
          <w:rFonts w:ascii="Times New Roman" w:eastAsia="Times New Roman" w:hAnsi="Times New Roman" w:cs="Times New Roman"/>
          <w:sz w:val="24"/>
          <w:szCs w:val="24"/>
          <w:lang w:eastAsia="bg-BG"/>
        </w:rPr>
        <w:t>а) Етап 1: Оценка на административното съответствие и допустимостта (АСД</w:t>
      </w:r>
      <w:r>
        <w:rPr>
          <w:rFonts w:ascii="Times New Roman" w:eastAsia="Times New Roman" w:hAnsi="Times New Roman" w:cs="Times New Roman"/>
          <w:sz w:val="24"/>
          <w:szCs w:val="24"/>
          <w:lang w:eastAsia="bg-BG"/>
        </w:rPr>
        <w:t>)</w:t>
      </w:r>
      <w:r w:rsidRPr="00B05E07">
        <w:rPr>
          <w:rFonts w:ascii="Times New Roman" w:eastAsia="Times New Roman" w:hAnsi="Times New Roman" w:cs="Times New Roman"/>
          <w:sz w:val="24"/>
          <w:szCs w:val="24"/>
          <w:lang w:eastAsia="bg-BG"/>
        </w:rPr>
        <w:t>;</w:t>
      </w:r>
    </w:p>
    <w:p w14:paraId="4B4FBF0D" w14:textId="77777777" w:rsidR="00B55D2D" w:rsidRDefault="00B55D2D" w:rsidP="00402F8E">
      <w:pPr>
        <w:pBdr>
          <w:top w:val="single" w:sz="4" w:space="1" w:color="auto"/>
          <w:left w:val="single" w:sz="4" w:space="5"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bg-BG"/>
        </w:rPr>
      </w:pPr>
      <w:r w:rsidRPr="00B05E07">
        <w:rPr>
          <w:rFonts w:ascii="Times New Roman" w:eastAsia="Times New Roman" w:hAnsi="Times New Roman" w:cs="Times New Roman"/>
          <w:sz w:val="24"/>
          <w:szCs w:val="24"/>
          <w:lang w:eastAsia="bg-BG"/>
        </w:rPr>
        <w:t xml:space="preserve">в) Етап 2: Техническа и финансова оценка (ТФО). </w:t>
      </w:r>
    </w:p>
    <w:p w14:paraId="43D3AAE1" w14:textId="77777777" w:rsidR="001A1631" w:rsidRPr="00B05E07" w:rsidRDefault="001A1631" w:rsidP="00402F8E">
      <w:pPr>
        <w:pBdr>
          <w:top w:val="single" w:sz="4" w:space="1" w:color="auto"/>
          <w:left w:val="single" w:sz="4" w:space="5"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bg-BG"/>
        </w:rPr>
      </w:pPr>
    </w:p>
    <w:p w14:paraId="4D612D17" w14:textId="77777777" w:rsidR="00B55D2D" w:rsidRPr="00DE6D5E" w:rsidRDefault="00B55D2D" w:rsidP="00402F8E">
      <w:pPr>
        <w:pBdr>
          <w:top w:val="single" w:sz="4" w:space="1" w:color="auto"/>
          <w:left w:val="single" w:sz="4" w:space="5"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lang w:eastAsia="bg-BG"/>
        </w:rPr>
      </w:pPr>
      <w:r w:rsidRPr="00B05E07">
        <w:rPr>
          <w:rFonts w:ascii="Times New Roman" w:eastAsia="Times New Roman" w:hAnsi="Times New Roman" w:cs="Times New Roman"/>
          <w:sz w:val="24"/>
          <w:szCs w:val="24"/>
          <w:lang w:eastAsia="bg-BG"/>
        </w:rPr>
        <w:t>Всички проектни предложения, подадени в срока, определен в процедурата за прием на проектни предложения в ИСУН, се оценяват в рамките на 30 работни дни от крайния срок на приема на проектни предложения в съответствие с критериите, описани в Условията за кандидатстване, в които се определя минимално допустимата оценка за каче</w:t>
      </w:r>
      <w:bookmarkStart w:id="65" w:name="_Toc505614663"/>
      <w:bookmarkStart w:id="66" w:name="_Toc506212303"/>
      <w:r>
        <w:rPr>
          <w:rFonts w:ascii="Times New Roman" w:eastAsia="Times New Roman" w:hAnsi="Times New Roman" w:cs="Times New Roman"/>
          <w:sz w:val="24"/>
          <w:szCs w:val="24"/>
          <w:lang w:eastAsia="bg-BG"/>
        </w:rPr>
        <w:t>ство на проектните предложения.</w:t>
      </w:r>
    </w:p>
    <w:p w14:paraId="3147622B" w14:textId="77777777" w:rsidR="00C7091C" w:rsidRDefault="00C7091C" w:rsidP="00B55D2D">
      <w:pPr>
        <w:pStyle w:val="Heading2"/>
      </w:pPr>
      <w:bookmarkStart w:id="67" w:name="_Toc535245613"/>
      <w:bookmarkStart w:id="68" w:name="_Toc535495200"/>
    </w:p>
    <w:p w14:paraId="240B9D41" w14:textId="77777777" w:rsidR="00B55D2D" w:rsidRPr="00B2729A" w:rsidRDefault="00B55D2D" w:rsidP="00B55D2D">
      <w:pPr>
        <w:pStyle w:val="Heading2"/>
      </w:pPr>
      <w:r w:rsidRPr="00D137FE">
        <w:t>21.1. Оценка на административното съответствие и допустимост</w:t>
      </w:r>
      <w:r>
        <w:t xml:space="preserve"> (АСД)</w:t>
      </w:r>
      <w:r w:rsidRPr="00D137FE">
        <w:t>:</w:t>
      </w:r>
      <w:bookmarkEnd w:id="65"/>
      <w:bookmarkEnd w:id="66"/>
      <w:bookmarkEnd w:id="67"/>
      <w:bookmarkEnd w:id="68"/>
    </w:p>
    <w:p w14:paraId="6C9C8E8B" w14:textId="77777777" w:rsidR="00B55D2D" w:rsidRPr="00C7608D" w:rsidRDefault="00B55D2D" w:rsidP="00B55D2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bookmarkStart w:id="69" w:name="_Toc505614664"/>
      <w:bookmarkStart w:id="70" w:name="_Toc506212304"/>
      <w:r w:rsidRPr="00C7608D">
        <w:rPr>
          <w:rFonts w:ascii="Times New Roman" w:hAnsi="Times New Roman" w:cs="Times New Roman"/>
          <w:sz w:val="24"/>
          <w:szCs w:val="24"/>
        </w:rPr>
        <w:t>Оценка на проектни предложения по про</w:t>
      </w:r>
      <w:r>
        <w:rPr>
          <w:rFonts w:ascii="Times New Roman" w:hAnsi="Times New Roman" w:cs="Times New Roman"/>
          <w:sz w:val="24"/>
          <w:szCs w:val="24"/>
        </w:rPr>
        <w:t>цедурата се извършва в ИСУН 2020 съгласно условията в реда за оценка на МИГ Поморие.</w:t>
      </w:r>
    </w:p>
    <w:p w14:paraId="4D1552B9" w14:textId="77777777" w:rsidR="00B55D2D" w:rsidRPr="00C7608D" w:rsidRDefault="00B55D2D" w:rsidP="00B55D2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C7608D">
        <w:rPr>
          <w:rFonts w:ascii="Times New Roman" w:hAnsi="Times New Roman" w:cs="Times New Roman"/>
          <w:sz w:val="24"/>
          <w:szCs w:val="24"/>
        </w:rPr>
        <w:t xml:space="preserve">Оценката се извършва от Комисия за подбор на проектни предложения в срок до 30 работни дни от крайния срок на приема. Комисията за подбор на проектни предложения е съставена </w:t>
      </w:r>
      <w:r w:rsidRPr="00C7608D">
        <w:rPr>
          <w:rFonts w:ascii="Times New Roman" w:hAnsi="Times New Roman" w:cs="Times New Roman"/>
          <w:sz w:val="24"/>
          <w:szCs w:val="24"/>
        </w:rPr>
        <w:lastRenderedPageBreak/>
        <w:t xml:space="preserve">от: председател без право на глас, секретар без право на глас, нечетен брой членове с право на глас – не по-малко от трима и резервни членове – не по-малко от трима, като състава и числеността на комисията се определя със заповед на председателя на Управителния съвет на МИГ. </w:t>
      </w:r>
    </w:p>
    <w:p w14:paraId="46135029" w14:textId="77777777" w:rsidR="00B55D2D" w:rsidRPr="00C7608D" w:rsidRDefault="00B55D2D" w:rsidP="00B55D2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C7608D">
        <w:rPr>
          <w:rFonts w:ascii="Times New Roman" w:hAnsi="Times New Roman" w:cs="Times New Roman"/>
          <w:sz w:val="24"/>
          <w:szCs w:val="24"/>
        </w:rPr>
        <w:t>В работата на комисията могат да участват и наблюдатели по предложение на УО на ПРСР. При необходимост работата на комисията се подпомага и от помощник-оценители, които не са членове на КППП и чиято дейност се ограничава до етапите на оценка, определени в заповедта за назначаване на КППП.</w:t>
      </w:r>
    </w:p>
    <w:p w14:paraId="6DF6FD46" w14:textId="77777777" w:rsidR="00B55D2D" w:rsidRPr="00C7608D" w:rsidRDefault="00B55D2D" w:rsidP="00B55D2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C7608D">
        <w:rPr>
          <w:rFonts w:ascii="Times New Roman" w:hAnsi="Times New Roman" w:cs="Times New Roman"/>
          <w:sz w:val="24"/>
          <w:szCs w:val="24"/>
        </w:rPr>
        <w:t>Оценката на проектните предложения включва:</w:t>
      </w:r>
    </w:p>
    <w:p w14:paraId="375F521A" w14:textId="77777777" w:rsidR="00B55D2D" w:rsidRPr="00C7608D" w:rsidRDefault="00B55D2D" w:rsidP="00B55D2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C7608D">
        <w:rPr>
          <w:rFonts w:ascii="Times New Roman" w:hAnsi="Times New Roman" w:cs="Times New Roman"/>
          <w:sz w:val="24"/>
          <w:szCs w:val="24"/>
        </w:rPr>
        <w:tab/>
        <w:t>1. Оценка на административното съответствие и допустимостта;</w:t>
      </w:r>
    </w:p>
    <w:p w14:paraId="5EDD8A08" w14:textId="77777777" w:rsidR="00B55D2D" w:rsidRPr="00C7608D" w:rsidRDefault="00B55D2D" w:rsidP="00B55D2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C7608D">
        <w:rPr>
          <w:rFonts w:ascii="Times New Roman" w:hAnsi="Times New Roman" w:cs="Times New Roman"/>
          <w:sz w:val="24"/>
          <w:szCs w:val="24"/>
        </w:rPr>
        <w:tab/>
        <w:t>2. Техническа и финансова оценка.</w:t>
      </w:r>
    </w:p>
    <w:p w14:paraId="705D6CD2" w14:textId="2CE22715" w:rsidR="000E6E67" w:rsidRPr="00C7608D" w:rsidRDefault="00B55D2D" w:rsidP="00B55D2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C7608D">
        <w:rPr>
          <w:rFonts w:ascii="Times New Roman" w:hAnsi="Times New Roman" w:cs="Times New Roman"/>
          <w:sz w:val="24"/>
          <w:szCs w:val="24"/>
        </w:rPr>
        <w:t>Оценката на административното съответствие и допустимостта (включваща и проверка за основателността на предложените разходи) се извършва от двама членове на комисията</w:t>
      </w:r>
      <w:r w:rsidR="000E6E67" w:rsidRPr="000E6E67">
        <w:t xml:space="preserve"> </w:t>
      </w:r>
      <w:r w:rsidR="000E6E67" w:rsidRPr="000E6E67">
        <w:rPr>
          <w:rFonts w:ascii="Times New Roman" w:hAnsi="Times New Roman" w:cs="Times New Roman"/>
          <w:sz w:val="24"/>
          <w:szCs w:val="24"/>
        </w:rPr>
        <w:t>независимо един от друг, по крите</w:t>
      </w:r>
      <w:r w:rsidR="00216FFC">
        <w:rPr>
          <w:rFonts w:ascii="Times New Roman" w:hAnsi="Times New Roman" w:cs="Times New Roman"/>
          <w:sz w:val="24"/>
          <w:szCs w:val="24"/>
        </w:rPr>
        <w:t>р</w:t>
      </w:r>
      <w:r w:rsidR="0026680E">
        <w:rPr>
          <w:rFonts w:ascii="Times New Roman" w:hAnsi="Times New Roman" w:cs="Times New Roman"/>
          <w:sz w:val="24"/>
          <w:szCs w:val="24"/>
        </w:rPr>
        <w:t>иите, посочени в Приложение № 22</w:t>
      </w:r>
      <w:r w:rsidR="00216FFC">
        <w:rPr>
          <w:rFonts w:ascii="Times New Roman" w:hAnsi="Times New Roman" w:cs="Times New Roman"/>
          <w:sz w:val="24"/>
          <w:szCs w:val="24"/>
        </w:rPr>
        <w:t xml:space="preserve"> Критерии за АСД</w:t>
      </w:r>
      <w:r w:rsidRPr="00C7608D">
        <w:rPr>
          <w:rFonts w:ascii="Times New Roman" w:hAnsi="Times New Roman" w:cs="Times New Roman"/>
          <w:sz w:val="24"/>
          <w:szCs w:val="24"/>
        </w:rPr>
        <w:t>. При необходимост те се подпомагат от помощник-оценители, които извършват проверка на място за проекти със заявено СМР, проверка за изкуствено създадени условия и други дейности по оценката, възложени им със заповедта за назначаване на КППП. При проверка на място  за проекти със заявено СМР, кандидатите се уведомяват предварително от КППП за предстоящото посещение. Констатациите от извършеното посещение на място се отразяват в Контролен лист за посещение на място, който се предоставя на КППП.</w:t>
      </w:r>
      <w:r w:rsidR="000E6E67" w:rsidRPr="000E6E67">
        <w:t xml:space="preserve"> </w:t>
      </w:r>
    </w:p>
    <w:p w14:paraId="09575F1A" w14:textId="77777777" w:rsidR="00B55D2D" w:rsidRPr="00C7608D" w:rsidRDefault="00B55D2D" w:rsidP="00B55D2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C7608D">
        <w:rPr>
          <w:rFonts w:ascii="Times New Roman" w:hAnsi="Times New Roman" w:cs="Times New Roman"/>
          <w:sz w:val="24"/>
          <w:szCs w:val="24"/>
        </w:rPr>
        <w:t>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нередовности и определя 7-дневен срок за тяхното отстраняване.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p>
    <w:p w14:paraId="77E81420" w14:textId="77777777" w:rsidR="00B55D2D" w:rsidRPr="00C7608D" w:rsidRDefault="00B55D2D" w:rsidP="00B55D2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C7608D">
        <w:rPr>
          <w:rFonts w:ascii="Times New Roman" w:hAnsi="Times New Roman" w:cs="Times New Roman"/>
          <w:sz w:val="24"/>
          <w:szCs w:val="24"/>
        </w:rPr>
        <w:t>Кореспонденцията с кандидата се извършва през системата ИСУН 2020 чрез профила на кандидата и асоциирания към него електронен адрес на потребителя.</w:t>
      </w:r>
    </w:p>
    <w:p w14:paraId="1D590BDC" w14:textId="77777777" w:rsidR="00B55D2D" w:rsidRPr="00C7608D" w:rsidRDefault="00B55D2D" w:rsidP="00B55D2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C7608D">
        <w:rPr>
          <w:rFonts w:ascii="Times New Roman" w:hAnsi="Times New Roman" w:cs="Times New Roman"/>
          <w:sz w:val="24"/>
          <w:szCs w:val="24"/>
        </w:rPr>
        <w:t>Неотстраняването на нередовностите в срок може да доведе до прекратяване на производството по отношение на кандидата! Кандидатът няма право да представя на комисията други документи освен липсващите и тези за отстраняване на нередовностите. Отстраняването на нередовностите не може да води до подобряване качеството на проектното предложение.</w:t>
      </w:r>
    </w:p>
    <w:p w14:paraId="2E2AD9EF" w14:textId="77777777" w:rsidR="00121E57" w:rsidRDefault="00121E57" w:rsidP="00B55D2D">
      <w:pPr>
        <w:pStyle w:val="Heading2"/>
      </w:pPr>
      <w:bookmarkStart w:id="71" w:name="_Toc535245614"/>
    </w:p>
    <w:p w14:paraId="7C28B0B0" w14:textId="77777777" w:rsidR="00B55D2D" w:rsidRPr="003B0E91" w:rsidRDefault="00B55D2D" w:rsidP="00B55D2D">
      <w:pPr>
        <w:pStyle w:val="Heading2"/>
      </w:pPr>
      <w:bookmarkStart w:id="72" w:name="_Toc535495201"/>
      <w:r w:rsidRPr="003B0E91">
        <w:t>21.2 Техническа и финансова оценка</w:t>
      </w:r>
      <w:r>
        <w:t xml:space="preserve"> (ТФО)</w:t>
      </w:r>
      <w:r w:rsidRPr="003B0E91">
        <w:t>:</w:t>
      </w:r>
      <w:bookmarkEnd w:id="69"/>
      <w:bookmarkEnd w:id="70"/>
      <w:bookmarkEnd w:id="71"/>
      <w:bookmarkEnd w:id="72"/>
    </w:p>
    <w:tbl>
      <w:tblPr>
        <w:tblStyle w:val="TableGrid"/>
        <w:tblW w:w="9640" w:type="dxa"/>
        <w:tblInd w:w="-147" w:type="dxa"/>
        <w:tblLook w:val="04A0" w:firstRow="1" w:lastRow="0" w:firstColumn="1" w:lastColumn="0" w:noHBand="0" w:noVBand="1"/>
      </w:tblPr>
      <w:tblGrid>
        <w:gridCol w:w="9640"/>
      </w:tblGrid>
      <w:tr w:rsidR="00B55D2D" w:rsidRPr="007713C1" w14:paraId="04A3A455" w14:textId="77777777" w:rsidTr="00125C80">
        <w:tc>
          <w:tcPr>
            <w:tcW w:w="9640" w:type="dxa"/>
          </w:tcPr>
          <w:p w14:paraId="400F51DD" w14:textId="77777777" w:rsidR="00B55D2D" w:rsidRPr="00283091" w:rsidRDefault="00B55D2D" w:rsidP="00125C80">
            <w:pPr>
              <w:spacing w:after="160" w:line="259" w:lineRule="auto"/>
              <w:jc w:val="both"/>
              <w:rPr>
                <w:rFonts w:eastAsiaTheme="minorHAnsi"/>
                <w:sz w:val="24"/>
                <w:szCs w:val="24"/>
                <w:lang w:eastAsia="en-US"/>
              </w:rPr>
            </w:pPr>
            <w:r w:rsidRPr="00283091">
              <w:rPr>
                <w:rFonts w:eastAsiaTheme="minorHAnsi"/>
                <w:sz w:val="24"/>
                <w:szCs w:val="24"/>
                <w:lang w:eastAsia="en-US"/>
              </w:rPr>
              <w:t>Техническата и финансова оценка на всяко проектно предложение е оценка по същество на проектните предложения, която се извършва 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14:paraId="26C463ED" w14:textId="77777777" w:rsidR="00B55D2D" w:rsidRPr="00283091" w:rsidRDefault="00B55D2D" w:rsidP="00125C80">
            <w:pPr>
              <w:spacing w:after="160" w:line="259" w:lineRule="auto"/>
              <w:jc w:val="both"/>
              <w:rPr>
                <w:rFonts w:eastAsiaTheme="minorHAnsi"/>
                <w:sz w:val="24"/>
                <w:szCs w:val="24"/>
                <w:lang w:eastAsia="en-US"/>
              </w:rPr>
            </w:pPr>
            <w:r w:rsidRPr="00283091">
              <w:rPr>
                <w:rFonts w:eastAsiaTheme="minorHAnsi"/>
                <w:sz w:val="24"/>
                <w:szCs w:val="24"/>
                <w:lang w:eastAsia="en-US"/>
              </w:rPr>
              <w:t>Когато проектното предложение е оценено от двама членове на комисията и едната оценка е по-ниска от минимално допустимата оценка за качество по процедурата, а другата оценка – по- 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14:paraId="573A505D" w14:textId="77777777" w:rsidR="00B55D2D" w:rsidRPr="00283091" w:rsidRDefault="00B55D2D" w:rsidP="00125C80">
            <w:pPr>
              <w:spacing w:after="160" w:line="259" w:lineRule="auto"/>
              <w:jc w:val="both"/>
              <w:rPr>
                <w:rFonts w:eastAsiaTheme="minorHAnsi"/>
                <w:sz w:val="24"/>
                <w:szCs w:val="24"/>
                <w:lang w:eastAsia="en-US"/>
              </w:rPr>
            </w:pPr>
            <w:r w:rsidRPr="00283091">
              <w:rPr>
                <w:rFonts w:eastAsiaTheme="minorHAnsi"/>
                <w:sz w:val="24"/>
                <w:szCs w:val="24"/>
                <w:lang w:eastAsia="en-US"/>
              </w:rPr>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ал.1, т. 1 и 2 от ЗУСЕСИФ.</w:t>
            </w:r>
          </w:p>
          <w:p w14:paraId="7329F4BF" w14:textId="77777777" w:rsidR="00B55D2D" w:rsidRPr="00283091" w:rsidRDefault="00B55D2D" w:rsidP="00125C80">
            <w:pPr>
              <w:spacing w:after="160" w:line="259" w:lineRule="auto"/>
              <w:jc w:val="both"/>
              <w:rPr>
                <w:rFonts w:eastAsiaTheme="minorHAnsi"/>
                <w:sz w:val="24"/>
                <w:szCs w:val="24"/>
                <w:lang w:eastAsia="en-US"/>
              </w:rPr>
            </w:pPr>
            <w:r w:rsidRPr="00283091">
              <w:rPr>
                <w:rFonts w:eastAsiaTheme="minorHAnsi"/>
                <w:sz w:val="24"/>
                <w:szCs w:val="24"/>
                <w:lang w:eastAsia="en-US"/>
              </w:rPr>
              <w:t>*Забележка:</w:t>
            </w:r>
          </w:p>
          <w:p w14:paraId="2B9F31FC" w14:textId="77777777" w:rsidR="00B55D2D" w:rsidRPr="00283091" w:rsidRDefault="00B55D2D" w:rsidP="00125C80">
            <w:pPr>
              <w:spacing w:after="160" w:line="259" w:lineRule="auto"/>
              <w:jc w:val="both"/>
              <w:rPr>
                <w:rFonts w:eastAsiaTheme="minorHAnsi"/>
                <w:sz w:val="24"/>
                <w:szCs w:val="24"/>
                <w:lang w:eastAsia="en-US"/>
              </w:rPr>
            </w:pPr>
            <w:r w:rsidRPr="00283091">
              <w:rPr>
                <w:rFonts w:eastAsiaTheme="minorHAnsi"/>
                <w:sz w:val="24"/>
                <w:szCs w:val="24"/>
                <w:lang w:eastAsia="en-US"/>
              </w:rPr>
              <w:t>В случай, че в отделните етапи на оценка комисията за подбор на проектни предложения изисква допълнителна пояснителна информация от кандидата, кореспонденцията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14:paraId="154D47EC" w14:textId="77777777" w:rsidR="00B55D2D" w:rsidRPr="00283091" w:rsidRDefault="00B55D2D" w:rsidP="00125C80">
            <w:pPr>
              <w:spacing w:after="160" w:line="259" w:lineRule="auto"/>
              <w:jc w:val="both"/>
              <w:rPr>
                <w:rFonts w:eastAsiaTheme="minorHAnsi"/>
                <w:sz w:val="24"/>
                <w:szCs w:val="24"/>
                <w:lang w:eastAsia="en-US"/>
              </w:rPr>
            </w:pPr>
            <w:r w:rsidRPr="00283091">
              <w:rPr>
                <w:rFonts w:eastAsiaTheme="minorHAnsi"/>
                <w:sz w:val="24"/>
                <w:szCs w:val="24"/>
                <w:lang w:eastAsia="en-US"/>
              </w:rPr>
              <w:t xml:space="preserve">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ИСУН 2020 от 14 май 2016 г. </w:t>
            </w:r>
          </w:p>
          <w:p w14:paraId="50CCE520" w14:textId="77777777" w:rsidR="00B55D2D" w:rsidRPr="00283091" w:rsidRDefault="00B55D2D" w:rsidP="00125C80">
            <w:pPr>
              <w:spacing w:after="160" w:line="259" w:lineRule="auto"/>
              <w:jc w:val="both"/>
              <w:rPr>
                <w:rFonts w:eastAsiaTheme="minorHAnsi"/>
                <w:sz w:val="24"/>
                <w:szCs w:val="24"/>
                <w:lang w:eastAsia="en-US"/>
              </w:rPr>
            </w:pPr>
            <w:r w:rsidRPr="00283091">
              <w:rPr>
                <w:rFonts w:eastAsiaTheme="minorHAnsi"/>
                <w:sz w:val="24"/>
                <w:szCs w:val="24"/>
                <w:lang w:eastAsia="en-US"/>
              </w:rPr>
              <w:t>На следния уеб адрес е наличен видеоклип, онагледяващ процеса на отговор на въпрос от оценителната комисия:</w:t>
            </w:r>
          </w:p>
          <w:p w14:paraId="5F7EE5E6" w14:textId="77777777" w:rsidR="00B55D2D" w:rsidRPr="00283091" w:rsidRDefault="005F3DFE" w:rsidP="00125C80">
            <w:pPr>
              <w:spacing w:after="160" w:line="259" w:lineRule="auto"/>
              <w:jc w:val="both"/>
              <w:rPr>
                <w:rFonts w:eastAsiaTheme="minorHAnsi"/>
                <w:sz w:val="24"/>
                <w:szCs w:val="24"/>
                <w:lang w:eastAsia="en-US"/>
              </w:rPr>
            </w:pPr>
            <w:hyperlink r:id="rId9" w:history="1">
              <w:r w:rsidR="00B55D2D" w:rsidRPr="00283091">
                <w:rPr>
                  <w:rFonts w:eastAsiaTheme="minorHAnsi"/>
                  <w:color w:val="0563C1" w:themeColor="hyperlink"/>
                  <w:sz w:val="24"/>
                  <w:szCs w:val="24"/>
                  <w:u w:val="single"/>
                  <w:lang w:eastAsia="en-US"/>
                </w:rPr>
                <w:t>https://www.youtube.com/watch?v=x6T0AavwC68</w:t>
              </w:r>
            </w:hyperlink>
          </w:p>
          <w:p w14:paraId="22468A43" w14:textId="77777777" w:rsidR="00B55D2D" w:rsidRPr="00283091" w:rsidRDefault="00B55D2D" w:rsidP="00125C80">
            <w:pPr>
              <w:spacing w:after="160" w:line="259" w:lineRule="auto"/>
              <w:jc w:val="both"/>
              <w:rPr>
                <w:rFonts w:eastAsiaTheme="minorHAnsi"/>
                <w:sz w:val="24"/>
                <w:szCs w:val="24"/>
                <w:lang w:eastAsia="en-US"/>
              </w:rPr>
            </w:pPr>
            <w:r w:rsidRPr="00283091">
              <w:rPr>
                <w:rFonts w:eastAsiaTheme="minorHAnsi"/>
                <w:sz w:val="24"/>
                <w:szCs w:val="24"/>
                <w:lang w:eastAsia="en-US"/>
              </w:rPr>
              <w:lastRenderedPageBreak/>
              <w:t>Кандидатът няма право да представя на комисията други документи освен липсващите и тези за отстраняване на нередовностите.</w:t>
            </w:r>
          </w:p>
          <w:p w14:paraId="073300CA" w14:textId="77777777" w:rsidR="00B55D2D" w:rsidRPr="00283091" w:rsidRDefault="00B55D2D" w:rsidP="00125C80">
            <w:pPr>
              <w:spacing w:after="160" w:line="259" w:lineRule="auto"/>
              <w:jc w:val="both"/>
              <w:rPr>
                <w:rFonts w:eastAsiaTheme="minorHAnsi"/>
                <w:sz w:val="24"/>
                <w:szCs w:val="24"/>
                <w:lang w:eastAsia="en-US"/>
              </w:rPr>
            </w:pPr>
            <w:r w:rsidRPr="00283091">
              <w:rPr>
                <w:rFonts w:eastAsiaTheme="minorHAnsi"/>
                <w:sz w:val="24"/>
                <w:szCs w:val="24"/>
                <w:lang w:eastAsia="en-US"/>
              </w:rPr>
              <w:t>Работата на Комисията за подбор на проектни предложения приключва с оценителен доклад, който се генерира в ИСУН. Оценителният доклад се подписва от председателя, секретаря и от всички членове на комисията.</w:t>
            </w:r>
          </w:p>
          <w:p w14:paraId="4AB1EDB2" w14:textId="77777777" w:rsidR="00B55D2D" w:rsidRPr="00283091" w:rsidRDefault="00B55D2D" w:rsidP="00125C80">
            <w:pPr>
              <w:spacing w:after="160" w:line="259" w:lineRule="auto"/>
              <w:jc w:val="both"/>
              <w:rPr>
                <w:rFonts w:eastAsiaTheme="minorHAnsi"/>
                <w:sz w:val="24"/>
                <w:szCs w:val="24"/>
                <w:lang w:eastAsia="en-US"/>
              </w:rPr>
            </w:pPr>
            <w:r w:rsidRPr="00283091">
              <w:rPr>
                <w:rFonts w:eastAsiaTheme="minorHAnsi"/>
                <w:sz w:val="24"/>
                <w:szCs w:val="24"/>
                <w:lang w:eastAsia="en-US"/>
              </w:rPr>
              <w:t>Оценителният доклад и възраженията по него  са уредени в чл.44, ал.3-6 и чл. 45 на ПМС № 161 от 2016 г.</w:t>
            </w:r>
          </w:p>
          <w:p w14:paraId="26F894DD" w14:textId="77777777" w:rsidR="00B55D2D" w:rsidRPr="00283091" w:rsidRDefault="00B55D2D" w:rsidP="00125C80">
            <w:pPr>
              <w:spacing w:after="160" w:line="259" w:lineRule="auto"/>
              <w:jc w:val="both"/>
              <w:rPr>
                <w:rFonts w:eastAsiaTheme="minorHAnsi"/>
                <w:sz w:val="24"/>
                <w:szCs w:val="24"/>
                <w:lang w:eastAsia="en-US"/>
              </w:rPr>
            </w:pPr>
            <w:r w:rsidRPr="00283091">
              <w:rPr>
                <w:rFonts w:eastAsiaTheme="minorHAnsi"/>
                <w:sz w:val="24"/>
                <w:szCs w:val="24"/>
                <w:lang w:eastAsia="en-US"/>
              </w:rPr>
              <w:t>Оценителният доклад се одобрява от УС на МИГ в срок до 5 работни от приключване работата на комисията.</w:t>
            </w:r>
          </w:p>
          <w:p w14:paraId="2973BBE7" w14:textId="77777777" w:rsidR="00B55D2D" w:rsidRPr="00283091" w:rsidRDefault="00B55D2D" w:rsidP="00125C80">
            <w:pPr>
              <w:spacing w:after="160" w:line="259" w:lineRule="auto"/>
              <w:jc w:val="both"/>
              <w:rPr>
                <w:rFonts w:eastAsiaTheme="minorHAnsi"/>
                <w:sz w:val="24"/>
                <w:szCs w:val="24"/>
                <w:lang w:eastAsia="en-US"/>
              </w:rPr>
            </w:pPr>
            <w:r w:rsidRPr="00283091">
              <w:rPr>
                <w:rFonts w:eastAsiaTheme="minorHAnsi"/>
                <w:sz w:val="24"/>
                <w:szCs w:val="24"/>
                <w:lang w:eastAsia="en-US"/>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14:paraId="57FC49AF" w14:textId="77777777" w:rsidR="00B55D2D" w:rsidRPr="00F00390" w:rsidRDefault="00B55D2D" w:rsidP="00125C80">
            <w:pPr>
              <w:jc w:val="both"/>
              <w:rPr>
                <w:color w:val="000000"/>
              </w:rPr>
            </w:pPr>
            <w:r w:rsidRPr="00283091">
              <w:rPr>
                <w:rFonts w:eastAsiaTheme="minorHAnsi"/>
                <w:sz w:val="24"/>
                <w:szCs w:val="24"/>
                <w:lang w:eastAsia="en-US"/>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tc>
      </w:tr>
    </w:tbl>
    <w:p w14:paraId="4645BE83" w14:textId="77777777" w:rsidR="00B55D2D" w:rsidRDefault="00B55D2D" w:rsidP="007570DC">
      <w:pPr>
        <w:pStyle w:val="Heading1"/>
      </w:pPr>
    </w:p>
    <w:p w14:paraId="14B4EB41" w14:textId="33049FFF" w:rsidR="002C08E5" w:rsidRDefault="00237BC8" w:rsidP="007570DC">
      <w:pPr>
        <w:pStyle w:val="Heading1"/>
      </w:pPr>
      <w:bookmarkStart w:id="73" w:name="_Toc535495202"/>
      <w:r>
        <w:t>2</w:t>
      </w:r>
      <w:r w:rsidR="000F7193">
        <w:t>2</w:t>
      </w:r>
      <w:r w:rsidR="00CD1494" w:rsidRPr="007713C1">
        <w:t>. Критерии и методика за оценка на проектните предложения:</w:t>
      </w:r>
      <w:bookmarkEnd w:id="61"/>
      <w:bookmarkEnd w:id="73"/>
    </w:p>
    <w:tbl>
      <w:tblPr>
        <w:tblStyle w:val="TableGrid3"/>
        <w:tblW w:w="9498" w:type="dxa"/>
        <w:tblInd w:w="-34" w:type="dxa"/>
        <w:tblLook w:val="04A0" w:firstRow="1" w:lastRow="0" w:firstColumn="1" w:lastColumn="0" w:noHBand="0" w:noVBand="1"/>
      </w:tblPr>
      <w:tblGrid>
        <w:gridCol w:w="9498"/>
      </w:tblGrid>
      <w:tr w:rsidR="005B316D" w:rsidRPr="005B316D" w14:paraId="0DA9DF42" w14:textId="77777777" w:rsidTr="00E95EFC">
        <w:tc>
          <w:tcPr>
            <w:tcW w:w="9498" w:type="dxa"/>
          </w:tcPr>
          <w:p w14:paraId="55D9C2C5" w14:textId="77777777" w:rsidR="005B316D" w:rsidRPr="005B316D" w:rsidRDefault="005B316D" w:rsidP="005B316D">
            <w:pPr>
              <w:spacing w:line="259" w:lineRule="auto"/>
              <w:jc w:val="both"/>
              <w:rPr>
                <w:rFonts w:eastAsiaTheme="minorHAnsi"/>
                <w:b/>
                <w:sz w:val="24"/>
                <w:szCs w:val="24"/>
                <w:lang w:eastAsia="en-US"/>
              </w:rPr>
            </w:pPr>
            <w:r w:rsidRPr="005B316D">
              <w:rPr>
                <w:rFonts w:eastAsiaTheme="minorHAnsi"/>
                <w:b/>
                <w:sz w:val="24"/>
                <w:szCs w:val="24"/>
                <w:lang w:eastAsia="en-US"/>
              </w:rPr>
              <w:t>ВАЖНО: Максималният брой точки, който може да получи едно проектно предложение е 100 точки.</w:t>
            </w:r>
          </w:p>
          <w:p w14:paraId="1E11DD01" w14:textId="77777777" w:rsidR="005B316D" w:rsidRPr="005B316D" w:rsidRDefault="005B316D" w:rsidP="005B316D">
            <w:pPr>
              <w:spacing w:line="259" w:lineRule="auto"/>
              <w:jc w:val="both"/>
              <w:rPr>
                <w:rFonts w:eastAsiaTheme="minorHAnsi"/>
                <w:b/>
                <w:sz w:val="24"/>
                <w:szCs w:val="24"/>
                <w:lang w:eastAsia="en-US"/>
              </w:rPr>
            </w:pPr>
          </w:p>
          <w:p w14:paraId="2E58363F" w14:textId="3D06DB16" w:rsidR="005B316D" w:rsidRPr="005B316D" w:rsidRDefault="005B316D" w:rsidP="005B316D">
            <w:pPr>
              <w:spacing w:line="259" w:lineRule="auto"/>
              <w:jc w:val="both"/>
              <w:rPr>
                <w:rFonts w:eastAsiaTheme="minorHAnsi"/>
                <w:b/>
                <w:sz w:val="24"/>
                <w:szCs w:val="24"/>
                <w:lang w:eastAsia="en-US"/>
              </w:rPr>
            </w:pPr>
            <w:r w:rsidRPr="005B316D">
              <w:rPr>
                <w:rFonts w:eastAsiaTheme="minorHAnsi"/>
                <w:b/>
                <w:sz w:val="24"/>
                <w:szCs w:val="24"/>
                <w:lang w:eastAsia="en-US"/>
              </w:rPr>
              <w:t>За да бъде предложено за финансиране едно проектно предложение, общата крайна оценка на етап техническа и финансова оценка тряб</w:t>
            </w:r>
            <w:r w:rsidR="00A263BE">
              <w:rPr>
                <w:rFonts w:eastAsiaTheme="minorHAnsi"/>
                <w:b/>
                <w:sz w:val="24"/>
                <w:szCs w:val="24"/>
                <w:lang w:eastAsia="en-US"/>
              </w:rPr>
              <w:t>ва да е равна или по-голяма от 3</w:t>
            </w:r>
            <w:r w:rsidRPr="005B316D">
              <w:rPr>
                <w:rFonts w:eastAsiaTheme="minorHAnsi"/>
                <w:b/>
                <w:sz w:val="24"/>
                <w:szCs w:val="24"/>
                <w:lang w:eastAsia="en-US"/>
              </w:rPr>
              <w:t>0 т.</w:t>
            </w:r>
          </w:p>
          <w:p w14:paraId="4D4F1D8F" w14:textId="77777777" w:rsidR="008B4CD6" w:rsidRDefault="008B4CD6" w:rsidP="008B4CD6">
            <w:pPr>
              <w:spacing w:line="276" w:lineRule="auto"/>
              <w:jc w:val="both"/>
              <w:rPr>
                <w:rFonts w:eastAsia="Calibri"/>
                <w:sz w:val="24"/>
                <w:szCs w:val="24"/>
              </w:rPr>
            </w:pPr>
          </w:p>
          <w:tbl>
            <w:tblPr>
              <w:tblStyle w:val="TableGrid"/>
              <w:tblW w:w="0" w:type="auto"/>
              <w:tblLook w:val="04A0" w:firstRow="1" w:lastRow="0" w:firstColumn="1" w:lastColumn="0" w:noHBand="0" w:noVBand="1"/>
            </w:tblPr>
            <w:tblGrid>
              <w:gridCol w:w="4823"/>
              <w:gridCol w:w="4420"/>
            </w:tblGrid>
            <w:tr w:rsidR="008B4CD6" w14:paraId="1458B3BB" w14:textId="77777777" w:rsidTr="008A62D2">
              <w:tc>
                <w:tcPr>
                  <w:tcW w:w="4823" w:type="dxa"/>
                  <w:shd w:val="clear" w:color="auto" w:fill="D9D9D9" w:themeFill="background1" w:themeFillShade="D9"/>
                </w:tcPr>
                <w:p w14:paraId="43B1EDF1" w14:textId="1D18A29B" w:rsidR="008B4CD6" w:rsidRPr="008B4CD6" w:rsidRDefault="008B4CD6" w:rsidP="00CD07F3">
                  <w:pPr>
                    <w:spacing w:line="276" w:lineRule="auto"/>
                    <w:jc w:val="both"/>
                    <w:rPr>
                      <w:rFonts w:eastAsia="Calibri"/>
                      <w:b/>
                      <w:sz w:val="28"/>
                      <w:szCs w:val="28"/>
                    </w:rPr>
                  </w:pPr>
                  <w:r w:rsidRPr="008B4CD6">
                    <w:rPr>
                      <w:rFonts w:eastAsia="Calibri"/>
                      <w:b/>
                      <w:sz w:val="28"/>
                      <w:szCs w:val="28"/>
                    </w:rPr>
                    <w:t>Критерии за оценка</w:t>
                  </w:r>
                </w:p>
              </w:tc>
              <w:tc>
                <w:tcPr>
                  <w:tcW w:w="4420" w:type="dxa"/>
                  <w:shd w:val="clear" w:color="auto" w:fill="D9D9D9" w:themeFill="background1" w:themeFillShade="D9"/>
                </w:tcPr>
                <w:p w14:paraId="1C0203CE" w14:textId="5522C589" w:rsidR="008B4CD6" w:rsidRPr="008B4CD6" w:rsidRDefault="008B4CD6" w:rsidP="00CD07F3">
                  <w:pPr>
                    <w:spacing w:line="276" w:lineRule="auto"/>
                    <w:jc w:val="both"/>
                    <w:rPr>
                      <w:rFonts w:eastAsia="Calibri"/>
                      <w:b/>
                      <w:sz w:val="28"/>
                      <w:szCs w:val="28"/>
                    </w:rPr>
                  </w:pPr>
                  <w:r w:rsidRPr="008B4CD6">
                    <w:rPr>
                      <w:rFonts w:eastAsia="Calibri"/>
                      <w:b/>
                      <w:sz w:val="28"/>
                      <w:szCs w:val="28"/>
                    </w:rPr>
                    <w:t>Максимален брой точки</w:t>
                  </w:r>
                </w:p>
              </w:tc>
            </w:tr>
            <w:tr w:rsidR="008B4CD6" w14:paraId="178E965A" w14:textId="77777777" w:rsidTr="008A62D2">
              <w:tc>
                <w:tcPr>
                  <w:tcW w:w="4823" w:type="dxa"/>
                </w:tcPr>
                <w:p w14:paraId="29F3C1C2" w14:textId="5F6B38D9" w:rsidR="008B4CD6" w:rsidRDefault="008B4CD6" w:rsidP="00CD07F3">
                  <w:pPr>
                    <w:spacing w:line="276" w:lineRule="auto"/>
                    <w:jc w:val="both"/>
                    <w:rPr>
                      <w:rFonts w:eastAsia="Calibri"/>
                      <w:sz w:val="24"/>
                      <w:szCs w:val="24"/>
                    </w:rPr>
                  </w:pPr>
                  <w:r>
                    <w:rPr>
                      <w:rFonts w:eastAsia="Calibri"/>
                      <w:sz w:val="24"/>
                      <w:szCs w:val="24"/>
                    </w:rPr>
                    <w:t xml:space="preserve">1. </w:t>
                  </w:r>
                  <w:r w:rsidRPr="00003BB9">
                    <w:rPr>
                      <w:rFonts w:eastAsia="Calibri"/>
                      <w:sz w:val="24"/>
                      <w:szCs w:val="24"/>
                    </w:rPr>
                    <w:t>Проектът предвижда къси вериги на доставка</w:t>
                  </w:r>
                </w:p>
              </w:tc>
              <w:tc>
                <w:tcPr>
                  <w:tcW w:w="4420" w:type="dxa"/>
                </w:tcPr>
                <w:p w14:paraId="075D0B7E" w14:textId="2A043371" w:rsidR="008B4CD6" w:rsidRDefault="008B4CD6" w:rsidP="00CD07F3">
                  <w:pPr>
                    <w:spacing w:line="276" w:lineRule="auto"/>
                    <w:jc w:val="both"/>
                    <w:rPr>
                      <w:rFonts w:eastAsia="Calibri"/>
                      <w:sz w:val="24"/>
                      <w:szCs w:val="24"/>
                    </w:rPr>
                  </w:pPr>
                  <w:r>
                    <w:rPr>
                      <w:rFonts w:eastAsia="Calibri"/>
                      <w:sz w:val="24"/>
                      <w:szCs w:val="24"/>
                    </w:rPr>
                    <w:t xml:space="preserve">10 т. </w:t>
                  </w:r>
                </w:p>
              </w:tc>
            </w:tr>
            <w:tr w:rsidR="008B4CD6" w14:paraId="3CE0E687" w14:textId="77777777" w:rsidTr="008A62D2">
              <w:tc>
                <w:tcPr>
                  <w:tcW w:w="4823" w:type="dxa"/>
                </w:tcPr>
                <w:p w14:paraId="542AA94D" w14:textId="1B1EB698" w:rsidR="008B4CD6" w:rsidRDefault="008B4CD6" w:rsidP="00CD07F3">
                  <w:pPr>
                    <w:spacing w:line="276" w:lineRule="auto"/>
                    <w:jc w:val="both"/>
                    <w:rPr>
                      <w:rFonts w:eastAsia="Calibri"/>
                      <w:sz w:val="24"/>
                      <w:szCs w:val="24"/>
                    </w:rPr>
                  </w:pPr>
                  <w:r>
                    <w:rPr>
                      <w:rFonts w:eastAsia="Calibri"/>
                      <w:sz w:val="24"/>
                      <w:szCs w:val="24"/>
                    </w:rPr>
                    <w:t xml:space="preserve">2. </w:t>
                  </w:r>
                  <w:r w:rsidRPr="00003BB9">
                    <w:rPr>
                      <w:rFonts w:eastAsia="Calibri"/>
                      <w:sz w:val="24"/>
                      <w:szCs w:val="24"/>
                    </w:rPr>
                    <w:t>Проектът води до опазване на компонентите на околната среда</w:t>
                  </w:r>
                </w:p>
              </w:tc>
              <w:tc>
                <w:tcPr>
                  <w:tcW w:w="4420" w:type="dxa"/>
                </w:tcPr>
                <w:p w14:paraId="03ADC811" w14:textId="044FB77E" w:rsidR="008B4CD6" w:rsidRDefault="008B4CD6" w:rsidP="00CD07F3">
                  <w:pPr>
                    <w:spacing w:line="276" w:lineRule="auto"/>
                    <w:jc w:val="both"/>
                    <w:rPr>
                      <w:rFonts w:eastAsia="Calibri"/>
                      <w:sz w:val="24"/>
                      <w:szCs w:val="24"/>
                    </w:rPr>
                  </w:pPr>
                  <w:r>
                    <w:rPr>
                      <w:rFonts w:eastAsia="Calibri"/>
                      <w:sz w:val="24"/>
                      <w:szCs w:val="24"/>
                    </w:rPr>
                    <w:t>10 т.</w:t>
                  </w:r>
                </w:p>
              </w:tc>
            </w:tr>
            <w:tr w:rsidR="008B4CD6" w14:paraId="4CB886D2" w14:textId="77777777" w:rsidTr="008A62D2">
              <w:tc>
                <w:tcPr>
                  <w:tcW w:w="4823" w:type="dxa"/>
                </w:tcPr>
                <w:p w14:paraId="1AF8A548" w14:textId="6F396649" w:rsidR="008B4CD6" w:rsidRDefault="008B4CD6" w:rsidP="00CD07F3">
                  <w:pPr>
                    <w:spacing w:line="276" w:lineRule="auto"/>
                    <w:jc w:val="both"/>
                    <w:rPr>
                      <w:rFonts w:eastAsia="Calibri"/>
                      <w:sz w:val="24"/>
                      <w:szCs w:val="24"/>
                    </w:rPr>
                  </w:pPr>
                  <w:r>
                    <w:rPr>
                      <w:rFonts w:eastAsia="Calibri"/>
                      <w:sz w:val="24"/>
                      <w:szCs w:val="24"/>
                    </w:rPr>
                    <w:t xml:space="preserve">3. </w:t>
                  </w:r>
                  <w:r w:rsidRPr="00003BB9">
                    <w:rPr>
                      <w:rFonts w:eastAsia="Calibri"/>
                      <w:sz w:val="24"/>
                      <w:szCs w:val="24"/>
                    </w:rPr>
                    <w:t>Проектът води до постигане на съответствие със стандартите на Европейския съюз</w:t>
                  </w:r>
                </w:p>
              </w:tc>
              <w:tc>
                <w:tcPr>
                  <w:tcW w:w="4420" w:type="dxa"/>
                </w:tcPr>
                <w:p w14:paraId="4FE985A2" w14:textId="0816004D" w:rsidR="008B4CD6" w:rsidRDefault="008B4CD6" w:rsidP="00CD07F3">
                  <w:pPr>
                    <w:spacing w:line="276" w:lineRule="auto"/>
                    <w:jc w:val="both"/>
                    <w:rPr>
                      <w:rFonts w:eastAsia="Calibri"/>
                      <w:sz w:val="24"/>
                      <w:szCs w:val="24"/>
                    </w:rPr>
                  </w:pPr>
                  <w:r>
                    <w:rPr>
                      <w:rFonts w:eastAsia="Calibri"/>
                      <w:sz w:val="24"/>
                      <w:szCs w:val="24"/>
                    </w:rPr>
                    <w:t xml:space="preserve">15 т. </w:t>
                  </w:r>
                </w:p>
              </w:tc>
            </w:tr>
            <w:tr w:rsidR="008B4CD6" w14:paraId="118D153E" w14:textId="77777777" w:rsidTr="008A62D2">
              <w:tc>
                <w:tcPr>
                  <w:tcW w:w="4823" w:type="dxa"/>
                </w:tcPr>
                <w:p w14:paraId="5E190080" w14:textId="2A975D7C" w:rsidR="008B4CD6" w:rsidRDefault="008B4CD6" w:rsidP="00CD07F3">
                  <w:pPr>
                    <w:spacing w:line="276" w:lineRule="auto"/>
                    <w:jc w:val="both"/>
                    <w:rPr>
                      <w:rFonts w:eastAsia="Calibri"/>
                      <w:sz w:val="24"/>
                      <w:szCs w:val="24"/>
                    </w:rPr>
                  </w:pPr>
                  <w:r>
                    <w:rPr>
                      <w:rFonts w:eastAsia="Calibri"/>
                      <w:sz w:val="24"/>
                      <w:szCs w:val="24"/>
                    </w:rPr>
                    <w:lastRenderedPageBreak/>
                    <w:t xml:space="preserve">4. </w:t>
                  </w:r>
                  <w:r w:rsidRPr="00003BB9">
                    <w:rPr>
                      <w:rFonts w:eastAsia="Calibri"/>
                      <w:sz w:val="24"/>
                      <w:szCs w:val="24"/>
                    </w:rPr>
                    <w:t>Преработка на суровини  от чувствителни сектори (Над 50% от обема на преработваните суровини са от растителен или животински произход, попадащи в обхвата на чувствителните сектори)</w:t>
                  </w:r>
                </w:p>
              </w:tc>
              <w:tc>
                <w:tcPr>
                  <w:tcW w:w="4420" w:type="dxa"/>
                </w:tcPr>
                <w:p w14:paraId="00352305" w14:textId="0BEA1F50" w:rsidR="008B4CD6" w:rsidRDefault="008B4CD6" w:rsidP="00CD07F3">
                  <w:pPr>
                    <w:spacing w:line="276" w:lineRule="auto"/>
                    <w:jc w:val="both"/>
                    <w:rPr>
                      <w:rFonts w:eastAsia="Calibri"/>
                      <w:sz w:val="24"/>
                      <w:szCs w:val="24"/>
                    </w:rPr>
                  </w:pPr>
                  <w:r>
                    <w:rPr>
                      <w:rFonts w:eastAsia="Calibri"/>
                      <w:sz w:val="24"/>
                      <w:szCs w:val="24"/>
                    </w:rPr>
                    <w:t xml:space="preserve">20 т. </w:t>
                  </w:r>
                </w:p>
              </w:tc>
            </w:tr>
            <w:tr w:rsidR="008B4CD6" w14:paraId="3A2DCD62" w14:textId="77777777" w:rsidTr="008A62D2">
              <w:tc>
                <w:tcPr>
                  <w:tcW w:w="4823" w:type="dxa"/>
                </w:tcPr>
                <w:p w14:paraId="6C749542" w14:textId="4ED452FE" w:rsidR="008B4CD6" w:rsidRDefault="008B4CD6" w:rsidP="00CD07F3">
                  <w:pPr>
                    <w:spacing w:line="276" w:lineRule="auto"/>
                    <w:jc w:val="both"/>
                    <w:rPr>
                      <w:rFonts w:eastAsia="Calibri"/>
                      <w:sz w:val="24"/>
                      <w:szCs w:val="24"/>
                    </w:rPr>
                  </w:pPr>
                  <w:r>
                    <w:rPr>
                      <w:rFonts w:eastAsia="Calibri"/>
                      <w:sz w:val="24"/>
                      <w:szCs w:val="24"/>
                    </w:rPr>
                    <w:t xml:space="preserve">5. </w:t>
                  </w:r>
                  <w:r w:rsidRPr="00003BB9">
                    <w:rPr>
                      <w:rFonts w:eastAsia="Calibri"/>
                      <w:sz w:val="24"/>
                      <w:szCs w:val="24"/>
                    </w:rPr>
                    <w:t>Подпомагане на проекти, чието изпълнение води до осигуряване на устойчива заетост на територията на селските райони</w:t>
                  </w:r>
                </w:p>
              </w:tc>
              <w:tc>
                <w:tcPr>
                  <w:tcW w:w="4420" w:type="dxa"/>
                </w:tcPr>
                <w:p w14:paraId="4F8EF3DA" w14:textId="77777777" w:rsidR="008B4CD6" w:rsidRDefault="008B4CD6" w:rsidP="00CD07F3">
                  <w:pPr>
                    <w:spacing w:line="276" w:lineRule="auto"/>
                    <w:jc w:val="both"/>
                    <w:rPr>
                      <w:rFonts w:eastAsia="Calibri"/>
                      <w:sz w:val="24"/>
                      <w:szCs w:val="24"/>
                    </w:rPr>
                  </w:pPr>
                </w:p>
              </w:tc>
            </w:tr>
            <w:tr w:rsidR="008B4CD6" w14:paraId="1341E36E" w14:textId="77777777" w:rsidTr="008A62D2">
              <w:tc>
                <w:tcPr>
                  <w:tcW w:w="4823" w:type="dxa"/>
                </w:tcPr>
                <w:p w14:paraId="0A2D049E" w14:textId="408E1960" w:rsidR="008B4CD6" w:rsidRDefault="008B4CD6" w:rsidP="00CD07F3">
                  <w:pPr>
                    <w:spacing w:line="276" w:lineRule="auto"/>
                    <w:jc w:val="both"/>
                    <w:rPr>
                      <w:rFonts w:eastAsia="Calibri"/>
                      <w:sz w:val="24"/>
                      <w:szCs w:val="24"/>
                    </w:rPr>
                  </w:pPr>
                  <w:r>
                    <w:rPr>
                      <w:rFonts w:eastAsia="Calibri"/>
                      <w:sz w:val="24"/>
                      <w:szCs w:val="24"/>
                    </w:rPr>
                    <w:t xml:space="preserve">5.1. </w:t>
                  </w:r>
                  <w:r w:rsidRPr="00003BB9">
                    <w:rPr>
                      <w:rFonts w:eastAsia="Calibri"/>
                      <w:sz w:val="24"/>
                      <w:szCs w:val="24"/>
                    </w:rPr>
                    <w:t>С извършване на инвестицията кандидатът ще създаде над 2 работни места</w:t>
                  </w:r>
                </w:p>
              </w:tc>
              <w:tc>
                <w:tcPr>
                  <w:tcW w:w="4420" w:type="dxa"/>
                </w:tcPr>
                <w:p w14:paraId="7C16D6F8" w14:textId="7B0D6A94" w:rsidR="008B4CD6" w:rsidRDefault="008B4CD6" w:rsidP="00CD07F3">
                  <w:pPr>
                    <w:spacing w:line="276" w:lineRule="auto"/>
                    <w:jc w:val="both"/>
                    <w:rPr>
                      <w:rFonts w:eastAsia="Calibri"/>
                      <w:sz w:val="24"/>
                      <w:szCs w:val="24"/>
                    </w:rPr>
                  </w:pPr>
                  <w:r>
                    <w:rPr>
                      <w:rFonts w:eastAsia="Calibri"/>
                      <w:sz w:val="24"/>
                      <w:szCs w:val="24"/>
                    </w:rPr>
                    <w:t>20 т.</w:t>
                  </w:r>
                </w:p>
              </w:tc>
            </w:tr>
            <w:tr w:rsidR="008B4CD6" w14:paraId="40C29BB0" w14:textId="77777777" w:rsidTr="008A62D2">
              <w:tc>
                <w:tcPr>
                  <w:tcW w:w="4823" w:type="dxa"/>
                </w:tcPr>
                <w:p w14:paraId="61BEA5D6" w14:textId="547250AF" w:rsidR="008B4CD6" w:rsidRDefault="00041544" w:rsidP="00CD07F3">
                  <w:pPr>
                    <w:spacing w:line="276" w:lineRule="auto"/>
                    <w:jc w:val="both"/>
                    <w:rPr>
                      <w:rFonts w:eastAsia="Calibri"/>
                      <w:sz w:val="24"/>
                      <w:szCs w:val="24"/>
                    </w:rPr>
                  </w:pPr>
                  <w:r>
                    <w:rPr>
                      <w:rFonts w:eastAsia="Calibri"/>
                      <w:sz w:val="24"/>
                      <w:szCs w:val="24"/>
                    </w:rPr>
                    <w:t xml:space="preserve">5.2. </w:t>
                  </w:r>
                  <w:r w:rsidR="008B4CD6" w:rsidRPr="00003BB9">
                    <w:rPr>
                      <w:rFonts w:eastAsia="Calibri"/>
                      <w:sz w:val="24"/>
                      <w:szCs w:val="24"/>
                    </w:rPr>
                    <w:t>С извършване на инвестицията кандидатът ще създаде до 2 работни места</w:t>
                  </w:r>
                </w:p>
              </w:tc>
              <w:tc>
                <w:tcPr>
                  <w:tcW w:w="4420" w:type="dxa"/>
                </w:tcPr>
                <w:p w14:paraId="69ECE964" w14:textId="2D1CDA2A" w:rsidR="008B4CD6" w:rsidRDefault="008B4CD6" w:rsidP="00CD07F3">
                  <w:pPr>
                    <w:spacing w:line="276" w:lineRule="auto"/>
                    <w:jc w:val="both"/>
                    <w:rPr>
                      <w:rFonts w:eastAsia="Calibri"/>
                      <w:sz w:val="24"/>
                      <w:szCs w:val="24"/>
                    </w:rPr>
                  </w:pPr>
                  <w:r>
                    <w:rPr>
                      <w:rFonts w:eastAsia="Calibri"/>
                      <w:sz w:val="24"/>
                      <w:szCs w:val="24"/>
                    </w:rPr>
                    <w:t>10 т.</w:t>
                  </w:r>
                </w:p>
              </w:tc>
            </w:tr>
            <w:tr w:rsidR="008B4CD6" w14:paraId="049C0BFE" w14:textId="77777777" w:rsidTr="008A62D2">
              <w:tc>
                <w:tcPr>
                  <w:tcW w:w="4823" w:type="dxa"/>
                </w:tcPr>
                <w:p w14:paraId="4B23C645" w14:textId="075779C1" w:rsidR="008B4CD6" w:rsidRPr="00003BB9" w:rsidRDefault="008B4CD6" w:rsidP="00CD07F3">
                  <w:pPr>
                    <w:spacing w:line="276" w:lineRule="auto"/>
                    <w:jc w:val="both"/>
                    <w:rPr>
                      <w:rFonts w:eastAsia="Calibri"/>
                      <w:sz w:val="24"/>
                      <w:szCs w:val="24"/>
                    </w:rPr>
                  </w:pPr>
                  <w:r>
                    <w:rPr>
                      <w:rFonts w:eastAsia="Calibri"/>
                      <w:sz w:val="24"/>
                      <w:szCs w:val="24"/>
                    </w:rPr>
                    <w:t xml:space="preserve">6. </w:t>
                  </w:r>
                  <w:r w:rsidRPr="00003BB9">
                    <w:rPr>
                      <w:rFonts w:eastAsia="Calibri"/>
                      <w:sz w:val="24"/>
                      <w:szCs w:val="24"/>
                    </w:rPr>
                    <w:t>Проекти, които се изпълняват в обхвата на необлагодетелствани райони (Габерово, Дъбник, Лъка)</w:t>
                  </w:r>
                </w:p>
              </w:tc>
              <w:tc>
                <w:tcPr>
                  <w:tcW w:w="4420" w:type="dxa"/>
                </w:tcPr>
                <w:p w14:paraId="367A159D" w14:textId="53448963" w:rsidR="008B4CD6" w:rsidRDefault="008B4CD6" w:rsidP="00CD07F3">
                  <w:pPr>
                    <w:spacing w:line="276" w:lineRule="auto"/>
                    <w:jc w:val="both"/>
                    <w:rPr>
                      <w:rFonts w:eastAsia="Calibri"/>
                      <w:sz w:val="24"/>
                      <w:szCs w:val="24"/>
                    </w:rPr>
                  </w:pPr>
                  <w:r>
                    <w:rPr>
                      <w:rFonts w:eastAsia="Calibri"/>
                      <w:sz w:val="24"/>
                      <w:szCs w:val="24"/>
                    </w:rPr>
                    <w:t>10 т.</w:t>
                  </w:r>
                </w:p>
              </w:tc>
            </w:tr>
            <w:tr w:rsidR="008B4CD6" w14:paraId="14AEEDC4" w14:textId="77777777" w:rsidTr="008A62D2">
              <w:tc>
                <w:tcPr>
                  <w:tcW w:w="4823" w:type="dxa"/>
                </w:tcPr>
                <w:p w14:paraId="6895AB71" w14:textId="54F1133B" w:rsidR="008B4CD6" w:rsidRPr="00003BB9" w:rsidRDefault="008B4CD6" w:rsidP="00CD07F3">
                  <w:pPr>
                    <w:spacing w:line="276" w:lineRule="auto"/>
                    <w:jc w:val="both"/>
                    <w:rPr>
                      <w:rFonts w:eastAsia="Calibri"/>
                      <w:sz w:val="24"/>
                      <w:szCs w:val="24"/>
                    </w:rPr>
                  </w:pPr>
                  <w:r>
                    <w:rPr>
                      <w:rFonts w:eastAsia="Calibri"/>
                      <w:sz w:val="24"/>
                      <w:szCs w:val="24"/>
                    </w:rPr>
                    <w:t xml:space="preserve">7. </w:t>
                  </w:r>
                  <w:r w:rsidRPr="00003BB9">
                    <w:rPr>
                      <w:rFonts w:eastAsia="Calibri"/>
                      <w:sz w:val="24"/>
                      <w:szCs w:val="24"/>
                    </w:rPr>
                    <w:t xml:space="preserve">Подпомагане на проекти за въвеждане на нови и енергоспестяващи технологии и иновации в преработвателната промишленост  </w:t>
                  </w:r>
                </w:p>
              </w:tc>
              <w:tc>
                <w:tcPr>
                  <w:tcW w:w="4420" w:type="dxa"/>
                </w:tcPr>
                <w:p w14:paraId="50DEF6CD" w14:textId="371014BB" w:rsidR="008B4CD6" w:rsidRDefault="008B4CD6" w:rsidP="00CD07F3">
                  <w:pPr>
                    <w:spacing w:line="276" w:lineRule="auto"/>
                    <w:jc w:val="both"/>
                    <w:rPr>
                      <w:rFonts w:eastAsia="Calibri"/>
                      <w:sz w:val="24"/>
                      <w:szCs w:val="24"/>
                    </w:rPr>
                  </w:pPr>
                  <w:r>
                    <w:rPr>
                      <w:rFonts w:eastAsia="Calibri"/>
                      <w:sz w:val="24"/>
                      <w:szCs w:val="24"/>
                    </w:rPr>
                    <w:t xml:space="preserve">15 т. </w:t>
                  </w:r>
                </w:p>
              </w:tc>
            </w:tr>
            <w:tr w:rsidR="008B4CD6" w14:paraId="60A45CB8" w14:textId="77777777" w:rsidTr="008A62D2">
              <w:tc>
                <w:tcPr>
                  <w:tcW w:w="4823" w:type="dxa"/>
                  <w:shd w:val="clear" w:color="auto" w:fill="D9D9D9" w:themeFill="background1" w:themeFillShade="D9"/>
                </w:tcPr>
                <w:p w14:paraId="4A6D640A" w14:textId="1C85F66F" w:rsidR="008B4CD6" w:rsidRPr="008B4CD6" w:rsidRDefault="008B4CD6" w:rsidP="00CD07F3">
                  <w:pPr>
                    <w:spacing w:line="276" w:lineRule="auto"/>
                    <w:jc w:val="both"/>
                    <w:rPr>
                      <w:rFonts w:eastAsia="Calibri"/>
                      <w:b/>
                      <w:sz w:val="28"/>
                      <w:szCs w:val="28"/>
                    </w:rPr>
                  </w:pPr>
                  <w:r w:rsidRPr="008B4CD6">
                    <w:rPr>
                      <w:rFonts w:eastAsia="Calibri"/>
                      <w:b/>
                      <w:sz w:val="28"/>
                      <w:szCs w:val="28"/>
                    </w:rPr>
                    <w:t xml:space="preserve">Максимален брой точки </w:t>
                  </w:r>
                </w:p>
              </w:tc>
              <w:tc>
                <w:tcPr>
                  <w:tcW w:w="4420" w:type="dxa"/>
                  <w:shd w:val="clear" w:color="auto" w:fill="D9D9D9" w:themeFill="background1" w:themeFillShade="D9"/>
                </w:tcPr>
                <w:p w14:paraId="61A3B6B0" w14:textId="5A4BAFE7" w:rsidR="008B4CD6" w:rsidRPr="008B4CD6" w:rsidRDefault="008B4CD6" w:rsidP="00CD07F3">
                  <w:pPr>
                    <w:spacing w:line="276" w:lineRule="auto"/>
                    <w:jc w:val="both"/>
                    <w:rPr>
                      <w:rFonts w:eastAsia="Calibri"/>
                      <w:b/>
                      <w:sz w:val="28"/>
                      <w:szCs w:val="28"/>
                    </w:rPr>
                  </w:pPr>
                  <w:r w:rsidRPr="008B4CD6">
                    <w:rPr>
                      <w:rFonts w:eastAsia="Calibri"/>
                      <w:b/>
                      <w:sz w:val="28"/>
                      <w:szCs w:val="28"/>
                    </w:rPr>
                    <w:t>100 т.</w:t>
                  </w:r>
                </w:p>
              </w:tc>
            </w:tr>
          </w:tbl>
          <w:p w14:paraId="6BB183CC" w14:textId="77777777" w:rsidR="00FC0B51" w:rsidRDefault="00FC0B51" w:rsidP="00FC0B51">
            <w:pPr>
              <w:spacing w:line="276" w:lineRule="auto"/>
              <w:jc w:val="both"/>
              <w:rPr>
                <w:rFonts w:eastAsia="Calibri"/>
                <w:sz w:val="24"/>
                <w:szCs w:val="24"/>
              </w:rPr>
            </w:pPr>
          </w:p>
          <w:p w14:paraId="51F27F45" w14:textId="77777777" w:rsidR="00CA4288" w:rsidRDefault="00CA4288" w:rsidP="00FC0B51">
            <w:pPr>
              <w:spacing w:line="276" w:lineRule="auto"/>
              <w:jc w:val="both"/>
              <w:rPr>
                <w:rFonts w:eastAsia="Calibri"/>
                <w:sz w:val="24"/>
                <w:szCs w:val="24"/>
              </w:rPr>
            </w:pPr>
          </w:p>
          <w:p w14:paraId="0CF43CDE" w14:textId="5F8D603A" w:rsidR="00B44AE0" w:rsidRDefault="00EF20E8" w:rsidP="00EF20E8">
            <w:pPr>
              <w:pStyle w:val="ListParagraph"/>
              <w:spacing w:line="276" w:lineRule="auto"/>
              <w:jc w:val="both"/>
              <w:rPr>
                <w:rFonts w:eastAsia="Calibri"/>
                <w:b/>
                <w:sz w:val="24"/>
                <w:szCs w:val="24"/>
              </w:rPr>
            </w:pPr>
            <w:r>
              <w:rPr>
                <w:rFonts w:eastAsia="Calibri"/>
                <w:b/>
                <w:sz w:val="24"/>
                <w:szCs w:val="24"/>
              </w:rPr>
              <w:t xml:space="preserve">1. </w:t>
            </w:r>
            <w:r w:rsidR="00B44AE0">
              <w:rPr>
                <w:rFonts w:eastAsia="Calibri"/>
                <w:b/>
                <w:sz w:val="24"/>
                <w:szCs w:val="24"/>
              </w:rPr>
              <w:t>Съответствие с критерий за оценка 1.</w:t>
            </w:r>
            <w:r w:rsidR="00B44AE0" w:rsidRPr="00B44AE0">
              <w:rPr>
                <w:rFonts w:eastAsia="Calibri"/>
                <w:b/>
                <w:sz w:val="24"/>
                <w:szCs w:val="24"/>
              </w:rPr>
              <w:t xml:space="preserve"> </w:t>
            </w:r>
            <w:r w:rsidR="00B44AE0">
              <w:rPr>
                <w:rFonts w:eastAsia="Calibri"/>
                <w:b/>
                <w:sz w:val="24"/>
                <w:szCs w:val="24"/>
              </w:rPr>
              <w:t>„</w:t>
            </w:r>
            <w:r w:rsidR="00B44AE0" w:rsidRPr="00B44AE0">
              <w:rPr>
                <w:rFonts w:eastAsia="Calibri"/>
                <w:b/>
                <w:sz w:val="24"/>
                <w:szCs w:val="24"/>
              </w:rPr>
              <w:t>Проектът предвижда къси вериги на доставка</w:t>
            </w:r>
            <w:r w:rsidR="00B44AE0">
              <w:rPr>
                <w:rFonts w:eastAsia="Calibri"/>
                <w:b/>
                <w:sz w:val="24"/>
                <w:szCs w:val="24"/>
              </w:rPr>
              <w:t>“:</w:t>
            </w:r>
          </w:p>
          <w:p w14:paraId="0C50AC10" w14:textId="77777777" w:rsidR="00B44AE0" w:rsidRDefault="00B44AE0" w:rsidP="00F4255A">
            <w:pPr>
              <w:spacing w:line="276" w:lineRule="auto"/>
              <w:jc w:val="both"/>
              <w:rPr>
                <w:rFonts w:eastAsia="Calibri"/>
                <w:b/>
                <w:sz w:val="24"/>
                <w:szCs w:val="24"/>
              </w:rPr>
            </w:pPr>
          </w:p>
          <w:p w14:paraId="678861E9" w14:textId="7CF457FE" w:rsidR="00F4255A" w:rsidRDefault="00F4255A" w:rsidP="00F4255A">
            <w:pPr>
              <w:spacing w:line="276" w:lineRule="auto"/>
              <w:jc w:val="both"/>
              <w:rPr>
                <w:rFonts w:eastAsia="Calibri"/>
                <w:sz w:val="24"/>
                <w:szCs w:val="24"/>
              </w:rPr>
            </w:pPr>
            <w:r w:rsidRPr="00F4255A">
              <w:rPr>
                <w:rFonts w:eastAsia="Calibri"/>
                <w:sz w:val="24"/>
                <w:szCs w:val="24"/>
              </w:rPr>
              <w:t xml:space="preserve">За определяне съответствието на проектното предложение с критерий за оценка 1, кандидатът следва да представи обосновка в т.11. Допълнителна информация в ИСУН 2020 относно </w:t>
            </w:r>
            <w:r w:rsidR="00776AC7">
              <w:rPr>
                <w:rFonts w:eastAsia="Calibri"/>
                <w:sz w:val="24"/>
                <w:szCs w:val="24"/>
              </w:rPr>
              <w:t>начина, по който късите вериги за доставка ще бъдат включени в проектното предложение.</w:t>
            </w:r>
          </w:p>
          <w:p w14:paraId="44E09B24" w14:textId="77777777" w:rsidR="00776AC7" w:rsidRPr="00776AC7" w:rsidRDefault="00776AC7" w:rsidP="00F4255A">
            <w:pPr>
              <w:spacing w:line="276" w:lineRule="auto"/>
              <w:jc w:val="both"/>
              <w:rPr>
                <w:rFonts w:eastAsia="Calibri"/>
                <w:sz w:val="24"/>
                <w:szCs w:val="24"/>
              </w:rPr>
            </w:pPr>
          </w:p>
          <w:p w14:paraId="37CD79B5" w14:textId="60C2D903" w:rsidR="009805A7" w:rsidRPr="009805A7" w:rsidRDefault="00776AC7" w:rsidP="00776AC7">
            <w:pPr>
              <w:spacing w:line="276" w:lineRule="auto"/>
              <w:jc w:val="both"/>
              <w:rPr>
                <w:rFonts w:eastAsia="Calibri"/>
                <w:b/>
                <w:sz w:val="24"/>
                <w:szCs w:val="24"/>
              </w:rPr>
            </w:pPr>
            <w:r w:rsidRPr="00776AC7">
              <w:rPr>
                <w:rFonts w:eastAsia="Calibri"/>
                <w:sz w:val="24"/>
                <w:szCs w:val="24"/>
              </w:rPr>
              <w:t>„Късите вериги за доставка на храни са тези, при които продуктът</w:t>
            </w:r>
            <w:r>
              <w:rPr>
                <w:rFonts w:eastAsia="Calibri"/>
                <w:sz w:val="24"/>
                <w:szCs w:val="24"/>
              </w:rPr>
              <w:t xml:space="preserve"> е проследим до производителя и</w:t>
            </w:r>
            <w:r>
              <w:rPr>
                <w:rFonts w:eastAsia="Calibri"/>
                <w:sz w:val="24"/>
                <w:szCs w:val="24"/>
                <w:lang w:val="en-US"/>
              </w:rPr>
              <w:t xml:space="preserve"> </w:t>
            </w:r>
            <w:r w:rsidRPr="00776AC7">
              <w:rPr>
                <w:rFonts w:eastAsia="Calibri"/>
                <w:sz w:val="24"/>
                <w:szCs w:val="24"/>
              </w:rPr>
              <w:t>до фермата, където е произведен. Броят на посредниците между про</w:t>
            </w:r>
            <w:r>
              <w:rPr>
                <w:rFonts w:eastAsia="Calibri"/>
                <w:sz w:val="24"/>
                <w:szCs w:val="24"/>
              </w:rPr>
              <w:t>изводителя и крайния потребител</w:t>
            </w:r>
            <w:r w:rsidR="00AD7535">
              <w:rPr>
                <w:rFonts w:eastAsia="Calibri"/>
                <w:sz w:val="24"/>
                <w:szCs w:val="24"/>
              </w:rPr>
              <w:t xml:space="preserve"> </w:t>
            </w:r>
            <w:r w:rsidRPr="00776AC7">
              <w:rPr>
                <w:rFonts w:eastAsia="Calibri"/>
                <w:sz w:val="24"/>
                <w:szCs w:val="24"/>
              </w:rPr>
              <w:t>трябва да бъде сведен до минимум или в най-добрия случай до нула.”</w:t>
            </w:r>
            <w:r w:rsidRPr="00776AC7">
              <w:rPr>
                <w:rFonts w:eastAsia="Calibri"/>
                <w:b/>
                <w:sz w:val="24"/>
                <w:szCs w:val="24"/>
              </w:rPr>
              <w:t xml:space="preserve"> </w:t>
            </w:r>
          </w:p>
          <w:p w14:paraId="181F01E4" w14:textId="77777777" w:rsidR="00776AC7" w:rsidRDefault="00776AC7" w:rsidP="00776AC7">
            <w:pPr>
              <w:spacing w:line="276" w:lineRule="auto"/>
              <w:jc w:val="both"/>
              <w:rPr>
                <w:rFonts w:eastAsia="Calibri"/>
                <w:b/>
                <w:sz w:val="24"/>
                <w:szCs w:val="24"/>
              </w:rPr>
            </w:pPr>
          </w:p>
          <w:p w14:paraId="26A63957" w14:textId="77777777" w:rsidR="00CA4288" w:rsidRPr="009805A7" w:rsidRDefault="00CA4288" w:rsidP="00776AC7">
            <w:pPr>
              <w:spacing w:line="276" w:lineRule="auto"/>
              <w:jc w:val="both"/>
              <w:rPr>
                <w:rFonts w:eastAsia="Calibri"/>
                <w:b/>
                <w:sz w:val="24"/>
                <w:szCs w:val="24"/>
              </w:rPr>
            </w:pPr>
          </w:p>
          <w:p w14:paraId="2E0C3423" w14:textId="573FE532" w:rsidR="009805A7" w:rsidRPr="009805A7" w:rsidRDefault="00B44AE0" w:rsidP="00776AC7">
            <w:pPr>
              <w:pStyle w:val="ListParagraph"/>
              <w:spacing w:line="276" w:lineRule="auto"/>
              <w:jc w:val="both"/>
              <w:rPr>
                <w:rFonts w:eastAsia="Calibri"/>
                <w:b/>
                <w:sz w:val="24"/>
                <w:szCs w:val="24"/>
              </w:rPr>
            </w:pPr>
            <w:r w:rsidRPr="009805A7">
              <w:rPr>
                <w:rFonts w:eastAsia="Calibri"/>
                <w:b/>
                <w:sz w:val="24"/>
                <w:szCs w:val="24"/>
              </w:rPr>
              <w:t xml:space="preserve">2. </w:t>
            </w:r>
            <w:r w:rsidR="009805A7" w:rsidRPr="009805A7">
              <w:rPr>
                <w:rFonts w:eastAsia="Calibri"/>
                <w:b/>
                <w:sz w:val="24"/>
                <w:szCs w:val="24"/>
              </w:rPr>
              <w:t>Съответствие с критерий за оценка 2 „Проектът води до опазване на компонентите на околната среда“:</w:t>
            </w:r>
          </w:p>
          <w:p w14:paraId="15D06A2D" w14:textId="77777777" w:rsidR="009805A7" w:rsidRDefault="009805A7" w:rsidP="00372F62">
            <w:pPr>
              <w:spacing w:line="276" w:lineRule="auto"/>
              <w:jc w:val="both"/>
              <w:rPr>
                <w:rFonts w:eastAsia="Calibri"/>
                <w:b/>
                <w:sz w:val="24"/>
                <w:szCs w:val="24"/>
              </w:rPr>
            </w:pPr>
          </w:p>
          <w:p w14:paraId="67DF1653" w14:textId="53FD46FD" w:rsidR="00372F62" w:rsidRDefault="00372F62" w:rsidP="00372F62">
            <w:pPr>
              <w:autoSpaceDE w:val="0"/>
              <w:autoSpaceDN w:val="0"/>
              <w:adjustRightInd w:val="0"/>
              <w:jc w:val="both"/>
              <w:rPr>
                <w:color w:val="000000"/>
                <w:sz w:val="24"/>
                <w:szCs w:val="24"/>
                <w:lang w:val="en-US"/>
              </w:rPr>
            </w:pPr>
            <w:r w:rsidRPr="00372F62">
              <w:rPr>
                <w:color w:val="000000"/>
                <w:sz w:val="24"/>
                <w:szCs w:val="24"/>
                <w:lang w:val="en-US"/>
              </w:rPr>
              <w:t>Когато заявява</w:t>
            </w:r>
            <w:r w:rsidRPr="00372F62">
              <w:rPr>
                <w:color w:val="000000"/>
                <w:sz w:val="24"/>
                <w:szCs w:val="24"/>
              </w:rPr>
              <w:t xml:space="preserve"> </w:t>
            </w:r>
            <w:r w:rsidRPr="00372F62">
              <w:rPr>
                <w:color w:val="000000"/>
                <w:sz w:val="24"/>
                <w:szCs w:val="24"/>
                <w:lang w:val="en-US"/>
              </w:rPr>
              <w:t>съо</w:t>
            </w:r>
            <w:r>
              <w:rPr>
                <w:color w:val="000000"/>
                <w:sz w:val="24"/>
                <w:szCs w:val="24"/>
                <w:lang w:val="en-US"/>
              </w:rPr>
              <w:t>тветствие с критерий за оценка 2</w:t>
            </w:r>
            <w:r w:rsidRPr="00372F62">
              <w:rPr>
                <w:color w:val="000000"/>
                <w:sz w:val="24"/>
                <w:szCs w:val="24"/>
                <w:lang w:val="en-US"/>
              </w:rPr>
              <w:t xml:space="preserve">. „Проектът води до опазване на компонентите на околната среда“ кандидатът следва да представи </w:t>
            </w:r>
            <w:r w:rsidRPr="00372F62">
              <w:rPr>
                <w:color w:val="000000"/>
                <w:sz w:val="24"/>
                <w:szCs w:val="24"/>
              </w:rPr>
              <w:t>становище, издадено от правоспособно лице, от което да е видно кои от инвестициите в проекта са свързани с опазване компонентите на околната среда и вида на комп</w:t>
            </w:r>
            <w:r w:rsidR="0031563F">
              <w:rPr>
                <w:color w:val="000000"/>
                <w:sz w:val="24"/>
                <w:szCs w:val="24"/>
              </w:rPr>
              <w:t>онента засегнат от инвестицията</w:t>
            </w:r>
            <w:r w:rsidR="0031563F">
              <w:rPr>
                <w:color w:val="000000"/>
                <w:sz w:val="24"/>
                <w:szCs w:val="24"/>
                <w:lang w:val="en-US"/>
              </w:rPr>
              <w:t>.</w:t>
            </w:r>
          </w:p>
          <w:p w14:paraId="06705B58" w14:textId="77777777" w:rsidR="00143EEA" w:rsidRDefault="00143EEA" w:rsidP="00372F62">
            <w:pPr>
              <w:autoSpaceDE w:val="0"/>
              <w:autoSpaceDN w:val="0"/>
              <w:adjustRightInd w:val="0"/>
              <w:jc w:val="both"/>
              <w:rPr>
                <w:color w:val="000000"/>
                <w:sz w:val="24"/>
                <w:szCs w:val="24"/>
                <w:lang w:val="en-US"/>
              </w:rPr>
            </w:pPr>
          </w:p>
          <w:p w14:paraId="1F6CE3B0" w14:textId="2EDA4B44" w:rsidR="00143EEA" w:rsidRPr="00143EEA" w:rsidRDefault="00143EEA" w:rsidP="00372F62">
            <w:pPr>
              <w:autoSpaceDE w:val="0"/>
              <w:autoSpaceDN w:val="0"/>
              <w:adjustRightInd w:val="0"/>
              <w:jc w:val="both"/>
              <w:rPr>
                <w:color w:val="000000"/>
                <w:sz w:val="24"/>
                <w:szCs w:val="24"/>
              </w:rPr>
            </w:pPr>
            <w:r>
              <w:rPr>
                <w:color w:val="000000"/>
                <w:sz w:val="24"/>
                <w:szCs w:val="24"/>
              </w:rPr>
              <w:t>В т.11 „Допълнителна информация в ИСУН кандидатът следва да отбележи в поле „</w:t>
            </w:r>
            <w:r w:rsidRPr="00143EEA">
              <w:rPr>
                <w:color w:val="000000"/>
                <w:sz w:val="24"/>
                <w:szCs w:val="24"/>
              </w:rPr>
              <w:t>Съответствие с критериите за оценка и допълнителна информация</w:t>
            </w:r>
            <w:r>
              <w:rPr>
                <w:color w:val="000000"/>
                <w:sz w:val="24"/>
                <w:szCs w:val="24"/>
              </w:rPr>
              <w:t xml:space="preserve">“, че заявява съответствие с критерий за оценка 2 и да опише, че представя съответния документ като доказателство. </w:t>
            </w:r>
          </w:p>
          <w:p w14:paraId="20428E32" w14:textId="77777777" w:rsidR="00372F62" w:rsidRPr="00372F62" w:rsidRDefault="00372F62" w:rsidP="00372F62">
            <w:pPr>
              <w:spacing w:line="276" w:lineRule="auto"/>
              <w:jc w:val="both"/>
              <w:rPr>
                <w:rFonts w:eastAsia="Calibri"/>
                <w:b/>
                <w:sz w:val="24"/>
                <w:szCs w:val="24"/>
              </w:rPr>
            </w:pPr>
          </w:p>
          <w:p w14:paraId="0B0FD679" w14:textId="6F28C3D6" w:rsidR="009805A7" w:rsidRPr="009805A7" w:rsidRDefault="009805A7" w:rsidP="00776AC7">
            <w:pPr>
              <w:pStyle w:val="ListParagraph"/>
              <w:spacing w:line="276" w:lineRule="auto"/>
              <w:jc w:val="both"/>
              <w:rPr>
                <w:rFonts w:eastAsia="Calibri"/>
                <w:b/>
                <w:sz w:val="24"/>
                <w:szCs w:val="24"/>
              </w:rPr>
            </w:pPr>
            <w:r>
              <w:rPr>
                <w:rFonts w:eastAsia="Calibri"/>
                <w:b/>
                <w:sz w:val="24"/>
                <w:szCs w:val="24"/>
              </w:rPr>
              <w:t xml:space="preserve">3. Съответствие с критерий за оценка 3: </w:t>
            </w:r>
            <w:r w:rsidRPr="009805A7">
              <w:rPr>
                <w:rFonts w:eastAsia="Calibri"/>
                <w:b/>
                <w:sz w:val="24"/>
                <w:szCs w:val="24"/>
              </w:rPr>
              <w:t>„Проектът води до постигане на съответствие със стандартите на Европейския съюз“:</w:t>
            </w:r>
          </w:p>
          <w:p w14:paraId="1652B8DB" w14:textId="77777777" w:rsidR="009805A7" w:rsidRDefault="009805A7" w:rsidP="00EC4179">
            <w:pPr>
              <w:spacing w:line="276" w:lineRule="auto"/>
              <w:jc w:val="both"/>
              <w:rPr>
                <w:rFonts w:eastAsia="Calibri"/>
                <w:b/>
                <w:sz w:val="24"/>
                <w:szCs w:val="24"/>
              </w:rPr>
            </w:pPr>
          </w:p>
          <w:p w14:paraId="77CE959C" w14:textId="3AC0F408" w:rsidR="00EC4179" w:rsidRDefault="00EC4179" w:rsidP="00EC4179">
            <w:pPr>
              <w:spacing w:line="276" w:lineRule="auto"/>
              <w:jc w:val="both"/>
              <w:rPr>
                <w:sz w:val="24"/>
                <w:szCs w:val="24"/>
              </w:rPr>
            </w:pPr>
            <w:r w:rsidRPr="00EC4179">
              <w:rPr>
                <w:sz w:val="24"/>
                <w:szCs w:val="24"/>
              </w:rPr>
              <w:t>Когато заявява съо</w:t>
            </w:r>
            <w:r w:rsidR="00246160">
              <w:rPr>
                <w:sz w:val="24"/>
                <w:szCs w:val="24"/>
              </w:rPr>
              <w:t>тветствие с критерий за оценка 3</w:t>
            </w:r>
            <w:r w:rsidRPr="00EC4179">
              <w:rPr>
                <w:sz w:val="24"/>
                <w:szCs w:val="24"/>
              </w:rPr>
              <w:t xml:space="preserve">. </w:t>
            </w:r>
            <w:r w:rsidR="00246160" w:rsidRPr="00246160">
              <w:rPr>
                <w:rFonts w:eastAsia="Calibri"/>
                <w:sz w:val="24"/>
                <w:szCs w:val="24"/>
              </w:rPr>
              <w:t>„Проектът води до постигане на съответствие със стандартите на Европейския съюз“</w:t>
            </w:r>
            <w:r w:rsidRPr="00246160">
              <w:rPr>
                <w:sz w:val="24"/>
                <w:szCs w:val="24"/>
              </w:rPr>
              <w:t xml:space="preserve"> кандидатът следва </w:t>
            </w:r>
            <w:r w:rsidR="00125C80">
              <w:rPr>
                <w:sz w:val="24"/>
                <w:szCs w:val="24"/>
              </w:rPr>
              <w:t>да представи с</w:t>
            </w:r>
            <w:r w:rsidR="00125C80" w:rsidRPr="00E85DD8">
              <w:rPr>
                <w:sz w:val="24"/>
                <w:szCs w:val="24"/>
              </w:rPr>
              <w:t>тановище на БАБХ, от което да е видно кои от предвидените инвестиции в проекта са насочени към постигане на стандартите на ЕС</w:t>
            </w:r>
            <w:r w:rsidR="00125C80" w:rsidRPr="00E85DD8">
              <w:rPr>
                <w:sz w:val="24"/>
                <w:szCs w:val="24"/>
                <w:lang w:val="en-US"/>
              </w:rPr>
              <w:t>.</w:t>
            </w:r>
            <w:r w:rsidR="00125C80" w:rsidRPr="00E85DD8">
              <w:rPr>
                <w:sz w:val="24"/>
                <w:szCs w:val="24"/>
              </w:rPr>
              <w:t xml:space="preserve"> </w:t>
            </w:r>
          </w:p>
          <w:p w14:paraId="249F3803" w14:textId="77777777" w:rsidR="00D46602" w:rsidRDefault="00D46602" w:rsidP="00EC4179">
            <w:pPr>
              <w:spacing w:line="276" w:lineRule="auto"/>
              <w:jc w:val="both"/>
              <w:rPr>
                <w:sz w:val="24"/>
                <w:szCs w:val="24"/>
              </w:rPr>
            </w:pPr>
          </w:p>
          <w:p w14:paraId="175EA1C3" w14:textId="070695A2" w:rsidR="00125C80" w:rsidRPr="00D46602" w:rsidRDefault="00D46602" w:rsidP="00EC4179">
            <w:pPr>
              <w:spacing w:line="276" w:lineRule="auto"/>
              <w:jc w:val="both"/>
              <w:rPr>
                <w:rFonts w:eastAsia="Calibri"/>
                <w:sz w:val="24"/>
                <w:szCs w:val="24"/>
              </w:rPr>
            </w:pPr>
            <w:r w:rsidRPr="00D46602">
              <w:rPr>
                <w:rFonts w:eastAsia="Calibri"/>
                <w:sz w:val="24"/>
                <w:szCs w:val="24"/>
              </w:rPr>
              <w:t>В т.11 „Допълнителна информация в ИСУН кандидатът следва да отбележи в поле „Съответствие с критериите за оценка и допълнителна информация“, че заявява съо</w:t>
            </w:r>
            <w:r>
              <w:rPr>
                <w:rFonts w:eastAsia="Calibri"/>
                <w:sz w:val="24"/>
                <w:szCs w:val="24"/>
              </w:rPr>
              <w:t>тветствие с критерий за оценка 3</w:t>
            </w:r>
            <w:r w:rsidRPr="00D46602">
              <w:rPr>
                <w:rFonts w:eastAsia="Calibri"/>
                <w:sz w:val="24"/>
                <w:szCs w:val="24"/>
              </w:rPr>
              <w:t xml:space="preserve"> и да опише, че представя съответния документ като доказателство.</w:t>
            </w:r>
          </w:p>
          <w:p w14:paraId="4C7881C7" w14:textId="77777777" w:rsidR="00C7091C" w:rsidRPr="00EC4179" w:rsidRDefault="00C7091C" w:rsidP="00EC4179">
            <w:pPr>
              <w:spacing w:line="276" w:lineRule="auto"/>
              <w:jc w:val="both"/>
              <w:rPr>
                <w:rFonts w:eastAsia="Calibri"/>
                <w:b/>
                <w:sz w:val="24"/>
                <w:szCs w:val="24"/>
              </w:rPr>
            </w:pPr>
          </w:p>
          <w:p w14:paraId="78A22586" w14:textId="284B3A47" w:rsidR="00FC0B51" w:rsidRPr="00FC0B51" w:rsidRDefault="00E95EFC" w:rsidP="00776AC7">
            <w:pPr>
              <w:pStyle w:val="ListParagraph"/>
              <w:spacing w:line="276" w:lineRule="auto"/>
              <w:jc w:val="both"/>
              <w:rPr>
                <w:rFonts w:eastAsia="Calibri"/>
                <w:b/>
                <w:sz w:val="24"/>
                <w:szCs w:val="24"/>
              </w:rPr>
            </w:pPr>
            <w:r>
              <w:rPr>
                <w:rFonts w:eastAsia="Calibri"/>
                <w:b/>
                <w:sz w:val="24"/>
                <w:szCs w:val="24"/>
              </w:rPr>
              <w:t xml:space="preserve">4. </w:t>
            </w:r>
            <w:r w:rsidR="00FC0B51" w:rsidRPr="00FC0B51">
              <w:rPr>
                <w:rFonts w:eastAsia="Calibri"/>
                <w:b/>
                <w:sz w:val="24"/>
                <w:szCs w:val="24"/>
              </w:rPr>
              <w:t>Съответствие с критерий за оценка 4. „Преработка на суровини  от чувствителни сектори (Над 50% от обема на преработваните суровини са от растителен или животински произход, попадащи в обхвата на чувствителните сектори)“</w:t>
            </w:r>
            <w:r w:rsidR="00FC0B51">
              <w:rPr>
                <w:rFonts w:eastAsia="Calibri"/>
                <w:b/>
                <w:sz w:val="24"/>
                <w:szCs w:val="24"/>
              </w:rPr>
              <w:t>:</w:t>
            </w:r>
          </w:p>
          <w:p w14:paraId="141A1AEE" w14:textId="77777777" w:rsidR="00FC0B51" w:rsidRDefault="00FC0B51" w:rsidP="00FC0B51">
            <w:pPr>
              <w:spacing w:line="276" w:lineRule="auto"/>
              <w:jc w:val="both"/>
              <w:rPr>
                <w:rFonts w:eastAsia="Calibri"/>
                <w:sz w:val="24"/>
                <w:szCs w:val="24"/>
              </w:rPr>
            </w:pPr>
          </w:p>
          <w:p w14:paraId="060C5E9A" w14:textId="09C51BD5" w:rsidR="00FC0B51" w:rsidRDefault="00FC0B51" w:rsidP="00EF20E8">
            <w:pPr>
              <w:spacing w:line="276" w:lineRule="auto"/>
              <w:jc w:val="both"/>
              <w:rPr>
                <w:sz w:val="24"/>
                <w:szCs w:val="24"/>
              </w:rPr>
            </w:pPr>
            <w:r>
              <w:rPr>
                <w:rFonts w:eastAsia="Calibri"/>
                <w:sz w:val="24"/>
                <w:szCs w:val="24"/>
              </w:rPr>
              <w:t xml:space="preserve">По критерий за оценка 4. </w:t>
            </w:r>
            <w:r w:rsidRPr="00003BB9">
              <w:rPr>
                <w:rFonts w:eastAsia="Calibri"/>
                <w:sz w:val="24"/>
                <w:szCs w:val="24"/>
              </w:rPr>
              <w:t xml:space="preserve">Преработка на суровини  от чувствителни сектори </w:t>
            </w:r>
            <w:r>
              <w:rPr>
                <w:rFonts w:eastAsia="Calibri"/>
                <w:sz w:val="24"/>
                <w:szCs w:val="24"/>
              </w:rPr>
              <w:t>съответния брой точки получават кандидати, при които н</w:t>
            </w:r>
            <w:r w:rsidRPr="00003BB9">
              <w:rPr>
                <w:rFonts w:eastAsia="Calibri"/>
                <w:sz w:val="24"/>
                <w:szCs w:val="24"/>
              </w:rPr>
              <w:t>ад 50% от обема на преработваните суровини са от растителен или животински произход, попадащи в обхвата на чувствителните сектори</w:t>
            </w:r>
            <w:r w:rsidR="00750B33">
              <w:rPr>
                <w:rFonts w:eastAsia="Calibri"/>
                <w:sz w:val="24"/>
                <w:szCs w:val="24"/>
              </w:rPr>
              <w:t xml:space="preserve"> (Приложение </w:t>
            </w:r>
            <w:r w:rsidR="007C5F71">
              <w:rPr>
                <w:rFonts w:eastAsia="Calibri"/>
                <w:sz w:val="24"/>
                <w:szCs w:val="24"/>
              </w:rPr>
              <w:t>№ 19</w:t>
            </w:r>
            <w:r>
              <w:rPr>
                <w:rFonts w:eastAsia="Calibri"/>
                <w:sz w:val="24"/>
                <w:szCs w:val="24"/>
              </w:rPr>
              <w:t xml:space="preserve">). </w:t>
            </w:r>
            <w:r w:rsidRPr="00F21259">
              <w:rPr>
                <w:sz w:val="24"/>
                <w:szCs w:val="24"/>
              </w:rPr>
              <w:t xml:space="preserve">Кандидатът следва </w:t>
            </w:r>
            <w:r w:rsidRPr="00333DA8">
              <w:rPr>
                <w:sz w:val="24"/>
                <w:szCs w:val="24"/>
              </w:rPr>
              <w:t xml:space="preserve"> </w:t>
            </w:r>
            <w:r w:rsidRPr="00F21259">
              <w:rPr>
                <w:sz w:val="24"/>
                <w:szCs w:val="24"/>
              </w:rPr>
              <w:t>да представи</w:t>
            </w:r>
            <w:r w:rsidRPr="00333DA8">
              <w:rPr>
                <w:sz w:val="24"/>
                <w:szCs w:val="24"/>
              </w:rPr>
              <w:t xml:space="preserve"> Предварителни или окончателни </w:t>
            </w:r>
            <w:r w:rsidRPr="00333DA8">
              <w:rPr>
                <w:sz w:val="24"/>
                <w:szCs w:val="24"/>
              </w:rPr>
              <w:lastRenderedPageBreak/>
              <w:t>договори с описани вид, количества, произход и цени на основните суровини (важи в случаите, когато не се предвижда преработка на собствена земеделска продукция) и/или декла</w:t>
            </w:r>
            <w:r>
              <w:rPr>
                <w:sz w:val="24"/>
                <w:szCs w:val="24"/>
              </w:rPr>
              <w:t xml:space="preserve">рация по образец (Приложение </w:t>
            </w:r>
            <w:r w:rsidR="002B5EC5">
              <w:rPr>
                <w:sz w:val="24"/>
                <w:szCs w:val="24"/>
              </w:rPr>
              <w:t xml:space="preserve">№ </w:t>
            </w:r>
            <w:r w:rsidR="0008430F">
              <w:rPr>
                <w:sz w:val="24"/>
                <w:szCs w:val="24"/>
              </w:rPr>
              <w:t>18</w:t>
            </w:r>
            <w:r w:rsidRPr="00333DA8">
              <w:rPr>
                <w:sz w:val="24"/>
                <w:szCs w:val="24"/>
              </w:rPr>
              <w:t>) от кандидата с описани вид, количества и произход на основните суровини (важи в случаите, когато се предвижда преработка на собствена земеделска продукция) като доказателство, че осигурените най-малко 50 % от обема на преработените суровини са от растителен или животински произход, попадащи в обх</w:t>
            </w:r>
            <w:r>
              <w:rPr>
                <w:sz w:val="24"/>
                <w:szCs w:val="24"/>
              </w:rPr>
              <w:t>в</w:t>
            </w:r>
            <w:r w:rsidR="00EF20E8">
              <w:rPr>
                <w:sz w:val="24"/>
                <w:szCs w:val="24"/>
              </w:rPr>
              <w:t>ата на чувствителните сектори).</w:t>
            </w:r>
          </w:p>
          <w:p w14:paraId="20488557" w14:textId="77777777" w:rsidR="00D46602" w:rsidRDefault="00D46602" w:rsidP="00EF20E8">
            <w:pPr>
              <w:spacing w:line="276" w:lineRule="auto"/>
              <w:jc w:val="both"/>
              <w:rPr>
                <w:sz w:val="24"/>
                <w:szCs w:val="24"/>
              </w:rPr>
            </w:pPr>
          </w:p>
          <w:p w14:paraId="023D1B42" w14:textId="72CA287A" w:rsidR="00D46602" w:rsidRPr="00EF20E8" w:rsidRDefault="00D46602" w:rsidP="00EF20E8">
            <w:pPr>
              <w:spacing w:line="276" w:lineRule="auto"/>
              <w:jc w:val="both"/>
              <w:rPr>
                <w:sz w:val="24"/>
                <w:szCs w:val="24"/>
              </w:rPr>
            </w:pPr>
            <w:r w:rsidRPr="00D46602">
              <w:rPr>
                <w:sz w:val="24"/>
                <w:szCs w:val="24"/>
              </w:rPr>
              <w:t>В т.11 „Допълнителна информация в ИСУН кандидатът следва да отбележи в поле „Съответствие с критериите за оценка и допълнителна информация“, че заявява съо</w:t>
            </w:r>
            <w:r>
              <w:rPr>
                <w:sz w:val="24"/>
                <w:szCs w:val="24"/>
              </w:rPr>
              <w:t>тветствие с критерий за оценка 4</w:t>
            </w:r>
            <w:r w:rsidRPr="00D46602">
              <w:rPr>
                <w:sz w:val="24"/>
                <w:szCs w:val="24"/>
              </w:rPr>
              <w:t xml:space="preserve"> и да опише, че представя съответния документ като доказателство.</w:t>
            </w:r>
          </w:p>
          <w:p w14:paraId="12F40906" w14:textId="249D44FE" w:rsidR="003F21F7" w:rsidRPr="00E95EFC" w:rsidRDefault="00FC0B51" w:rsidP="00E95EFC">
            <w:pPr>
              <w:pStyle w:val="ListParagraph"/>
              <w:numPr>
                <w:ilvl w:val="0"/>
                <w:numId w:val="30"/>
              </w:numPr>
              <w:spacing w:before="120" w:after="120"/>
              <w:jc w:val="both"/>
              <w:rPr>
                <w:rFonts w:eastAsia="Calibri"/>
                <w:b/>
                <w:sz w:val="24"/>
                <w:szCs w:val="24"/>
                <w:lang w:eastAsia="en-US"/>
              </w:rPr>
            </w:pPr>
            <w:r w:rsidRPr="00E95EFC">
              <w:rPr>
                <w:rFonts w:eastAsia="Calibri"/>
                <w:b/>
                <w:sz w:val="24"/>
                <w:szCs w:val="24"/>
                <w:lang w:eastAsia="en-US"/>
              </w:rPr>
              <w:t>Съответствие с критерий за оценка 5. „</w:t>
            </w:r>
            <w:r w:rsidRPr="00E95EFC">
              <w:rPr>
                <w:rFonts w:eastAsia="Calibri"/>
                <w:b/>
                <w:sz w:val="24"/>
                <w:szCs w:val="24"/>
              </w:rPr>
              <w:t>Подпомагане на проекти, чието изпълнение води до осигуряване на устойчива заетост на територията на селските райони“:</w:t>
            </w:r>
          </w:p>
          <w:p w14:paraId="46188368" w14:textId="4507B392" w:rsidR="00676592" w:rsidRDefault="00CD07F3" w:rsidP="00676592">
            <w:pPr>
              <w:spacing w:before="120" w:after="120" w:line="259" w:lineRule="auto"/>
              <w:jc w:val="both"/>
              <w:rPr>
                <w:rFonts w:eastAsia="Calibri"/>
                <w:sz w:val="24"/>
                <w:szCs w:val="24"/>
                <w:lang w:eastAsia="en-US"/>
              </w:rPr>
            </w:pPr>
            <w:r w:rsidRPr="00CD07F3">
              <w:rPr>
                <w:rFonts w:eastAsia="Calibri"/>
                <w:sz w:val="24"/>
                <w:szCs w:val="24"/>
                <w:lang w:eastAsia="en-US"/>
              </w:rPr>
              <w:t xml:space="preserve">По критерий за оценка 5 съответния брой точки получават проекти, при които изпълнението на одобрените инвестиции и дейности водят до осигуряване на допълнителна заетост в земеделските стопанства като съответния брой допълнителни работни места на трудово правоотношение за реализация на дейностите по проекта се вземат от Таблица Б „Допълнителна заетост на стопанството, свързана с изпълнението на проекта“ в бизнес </w:t>
            </w:r>
            <w:r w:rsidRPr="00D34ECA">
              <w:rPr>
                <w:rFonts w:eastAsia="Calibri"/>
                <w:sz w:val="24"/>
                <w:szCs w:val="24"/>
                <w:lang w:eastAsia="en-US"/>
              </w:rPr>
              <w:t>плана (Приложение</w:t>
            </w:r>
            <w:r w:rsidR="00216FFC">
              <w:rPr>
                <w:rFonts w:eastAsia="Calibri"/>
                <w:sz w:val="24"/>
                <w:szCs w:val="24"/>
                <w:lang w:eastAsia="en-US"/>
              </w:rPr>
              <w:t xml:space="preserve"> 1А и 1</w:t>
            </w:r>
            <w:r w:rsidRPr="00D34ECA">
              <w:rPr>
                <w:rFonts w:eastAsia="Calibri"/>
                <w:sz w:val="24"/>
                <w:szCs w:val="24"/>
                <w:lang w:eastAsia="en-US"/>
              </w:rPr>
              <w:t>Б).</w:t>
            </w:r>
          </w:p>
          <w:p w14:paraId="507FD4A5" w14:textId="21081D8F" w:rsidR="00D46602" w:rsidRDefault="00D46602" w:rsidP="00676592">
            <w:pPr>
              <w:spacing w:before="120" w:after="120" w:line="259" w:lineRule="auto"/>
              <w:jc w:val="both"/>
              <w:rPr>
                <w:rFonts w:eastAsia="Calibri"/>
                <w:sz w:val="24"/>
                <w:szCs w:val="24"/>
                <w:lang w:eastAsia="en-US"/>
              </w:rPr>
            </w:pPr>
            <w:r w:rsidRPr="00D46602">
              <w:rPr>
                <w:rFonts w:eastAsia="Calibri"/>
                <w:sz w:val="24"/>
                <w:szCs w:val="24"/>
                <w:lang w:eastAsia="en-US"/>
              </w:rPr>
              <w:t>В т.11 „Допълнителна информация в ИСУН кандидатът следва да отбележи в поле „Съответствие с критериите за оценка и допълнителна информация“, че заявява съо</w:t>
            </w:r>
            <w:r>
              <w:rPr>
                <w:rFonts w:eastAsia="Calibri"/>
                <w:sz w:val="24"/>
                <w:szCs w:val="24"/>
                <w:lang w:eastAsia="en-US"/>
              </w:rPr>
              <w:t>тветствие с критерий за оценка 5</w:t>
            </w:r>
            <w:r w:rsidRPr="00D46602">
              <w:rPr>
                <w:rFonts w:eastAsia="Calibri"/>
                <w:sz w:val="24"/>
                <w:szCs w:val="24"/>
                <w:lang w:eastAsia="en-US"/>
              </w:rPr>
              <w:t xml:space="preserve"> и да опише, че представя съответния документ като доказателство.</w:t>
            </w:r>
          </w:p>
          <w:p w14:paraId="10D44A23" w14:textId="5A211048" w:rsidR="00256E55" w:rsidRDefault="00E95EFC" w:rsidP="00256E55">
            <w:pPr>
              <w:pStyle w:val="Default"/>
              <w:ind w:left="720"/>
              <w:jc w:val="both"/>
              <w:rPr>
                <w:rFonts w:eastAsia="Calibri"/>
                <w:b/>
              </w:rPr>
            </w:pPr>
            <w:r>
              <w:rPr>
                <w:b/>
              </w:rPr>
              <w:t>6</w:t>
            </w:r>
            <w:r w:rsidR="00256E55">
              <w:rPr>
                <w:b/>
              </w:rPr>
              <w:t xml:space="preserve">. </w:t>
            </w:r>
            <w:r w:rsidR="00256E55" w:rsidRPr="00FC0B51">
              <w:rPr>
                <w:b/>
              </w:rPr>
              <w:t>Съответствие с критерий за оценка 6.“</w:t>
            </w:r>
            <w:r w:rsidR="00256E55" w:rsidRPr="00FC0B51">
              <w:rPr>
                <w:rFonts w:eastAsia="Calibri"/>
                <w:b/>
              </w:rPr>
              <w:t xml:space="preserve"> Проекти, които се изпълняват в обхвата на необлагодетелствани райони (Габерово, Дъбник, Лъка)“:</w:t>
            </w:r>
          </w:p>
          <w:p w14:paraId="3B2CDE4E" w14:textId="77777777" w:rsidR="00256E55" w:rsidRPr="00FC0B51" w:rsidRDefault="00256E55" w:rsidP="00256E55">
            <w:pPr>
              <w:pStyle w:val="Default"/>
              <w:ind w:left="1080"/>
              <w:jc w:val="both"/>
              <w:rPr>
                <w:b/>
              </w:rPr>
            </w:pPr>
          </w:p>
          <w:p w14:paraId="43593C04" w14:textId="77777777" w:rsidR="00256E55" w:rsidRPr="00C25A94" w:rsidRDefault="00256E55" w:rsidP="00256E55">
            <w:pPr>
              <w:pStyle w:val="Default"/>
              <w:jc w:val="both"/>
            </w:pPr>
            <w:r>
              <w:t>За определяне с</w:t>
            </w:r>
            <w:r w:rsidRPr="00C25A94">
              <w:t xml:space="preserve">ъответствието с критерий за оценка 6 </w:t>
            </w:r>
            <w:r>
              <w:t xml:space="preserve">кандидатът следва да представи един от </w:t>
            </w:r>
            <w:r w:rsidRPr="00C25A94">
              <w:t>следните документи, които да доказват, че обекта на инвестицията е</w:t>
            </w:r>
            <w:r>
              <w:t xml:space="preserve"> разположен</w:t>
            </w:r>
            <w:r w:rsidRPr="00C25A94">
              <w:t xml:space="preserve"> в едно от населените места Габерово, Дъбник или Лъка:</w:t>
            </w:r>
          </w:p>
          <w:p w14:paraId="51602B96" w14:textId="77777777" w:rsidR="00256E55" w:rsidRPr="00C25A94" w:rsidRDefault="00256E55" w:rsidP="00256E55">
            <w:pPr>
              <w:pStyle w:val="Default"/>
              <w:numPr>
                <w:ilvl w:val="0"/>
                <w:numId w:val="24"/>
              </w:numPr>
              <w:jc w:val="both"/>
            </w:pPr>
            <w:r w:rsidRPr="00C25A94">
              <w:t>Документ за собственост на земя и/или друг вид недвижим имот, обект на инвестицията;</w:t>
            </w:r>
          </w:p>
          <w:p w14:paraId="7174F3EE" w14:textId="77777777" w:rsidR="00256E55" w:rsidRPr="00C25A94" w:rsidRDefault="00256E55" w:rsidP="00256E55">
            <w:pPr>
              <w:pStyle w:val="Default"/>
              <w:numPr>
                <w:ilvl w:val="0"/>
                <w:numId w:val="24"/>
              </w:numPr>
              <w:jc w:val="both"/>
            </w:pPr>
            <w:r w:rsidRPr="00C25A94">
              <w:t>или документ за учредено право на строеж върху имота за срок не по-малък от 6 години, считано от датата на подаване на проектното предложение към стратегията за ВОМР (когато е учредено срочно право на строеж);</w:t>
            </w:r>
          </w:p>
          <w:p w14:paraId="2EBED484" w14:textId="77777777" w:rsidR="00256E55" w:rsidRPr="00C25A94" w:rsidRDefault="00256E55" w:rsidP="00256E55">
            <w:pPr>
              <w:pStyle w:val="Default"/>
              <w:numPr>
                <w:ilvl w:val="0"/>
                <w:numId w:val="24"/>
              </w:numPr>
              <w:jc w:val="both"/>
            </w:pPr>
            <w:r w:rsidRPr="00C25A94">
              <w:lastRenderedPageBreak/>
              <w:t xml:space="preserve">или документ за ползване върху имота, валиден за срок не по-малък от 6 години, считано от датата на подаване на проектното предложение към стратегията за ВОМР, вписан в районната служба по вписванията, а в случай на договор за аренда на земя - и регистриран в съответната общинска служба по земеделие на Министерството на земеделието, храните и горите, в случаите на обновяване на сгради и/или помещения, за които не се изисква издаване на разрешение за строеж, съгласно Закона за устройство на територията. </w:t>
            </w:r>
          </w:p>
          <w:p w14:paraId="0A22A7DF" w14:textId="1D881382" w:rsidR="00676592" w:rsidRDefault="00D46602" w:rsidP="00676592">
            <w:pPr>
              <w:spacing w:before="120" w:after="120" w:line="259" w:lineRule="auto"/>
              <w:jc w:val="both"/>
              <w:rPr>
                <w:rFonts w:eastAsia="Calibri"/>
                <w:sz w:val="24"/>
                <w:szCs w:val="24"/>
                <w:lang w:eastAsia="en-US"/>
              </w:rPr>
            </w:pPr>
            <w:r w:rsidRPr="00D46602">
              <w:rPr>
                <w:rFonts w:eastAsia="Calibri"/>
                <w:sz w:val="24"/>
                <w:szCs w:val="24"/>
                <w:lang w:eastAsia="en-US"/>
              </w:rPr>
              <w:t>В т.11 „Допълнителна информация в ИСУН кандидатът следва да отбележи в поле „Съответствие с критериите за оценка и допълнителна информация“, че заявява съо</w:t>
            </w:r>
            <w:r>
              <w:rPr>
                <w:rFonts w:eastAsia="Calibri"/>
                <w:sz w:val="24"/>
                <w:szCs w:val="24"/>
                <w:lang w:eastAsia="en-US"/>
              </w:rPr>
              <w:t>тветствие с критерий за оценка 6</w:t>
            </w:r>
            <w:r w:rsidRPr="00D46602">
              <w:rPr>
                <w:rFonts w:eastAsia="Calibri"/>
                <w:sz w:val="24"/>
                <w:szCs w:val="24"/>
                <w:lang w:eastAsia="en-US"/>
              </w:rPr>
              <w:t xml:space="preserve"> и да опише, че представя съответния документ като доказателство.</w:t>
            </w:r>
          </w:p>
          <w:p w14:paraId="7D42FFFD" w14:textId="77777777" w:rsidR="00D46602" w:rsidRDefault="00D46602" w:rsidP="00676592">
            <w:pPr>
              <w:spacing w:before="120" w:after="120" w:line="259" w:lineRule="auto"/>
              <w:jc w:val="both"/>
              <w:rPr>
                <w:rFonts w:eastAsia="Calibri"/>
                <w:sz w:val="24"/>
                <w:szCs w:val="24"/>
                <w:lang w:eastAsia="en-US"/>
              </w:rPr>
            </w:pPr>
          </w:p>
          <w:p w14:paraId="5CCD2A7D" w14:textId="138CBA9F" w:rsidR="00FC0B51" w:rsidRPr="00256E55" w:rsidRDefault="00E95EFC" w:rsidP="00256E55">
            <w:pPr>
              <w:spacing w:before="120" w:after="120"/>
              <w:ind w:left="720"/>
              <w:jc w:val="both"/>
              <w:rPr>
                <w:rFonts w:eastAsia="Calibri"/>
                <w:sz w:val="24"/>
                <w:szCs w:val="24"/>
                <w:lang w:eastAsia="en-US"/>
              </w:rPr>
            </w:pPr>
            <w:r>
              <w:rPr>
                <w:rFonts w:eastAsia="Calibri"/>
                <w:b/>
                <w:sz w:val="24"/>
                <w:szCs w:val="24"/>
                <w:lang w:eastAsia="en-US"/>
              </w:rPr>
              <w:t>7</w:t>
            </w:r>
            <w:r w:rsidR="00256E55">
              <w:rPr>
                <w:rFonts w:eastAsia="Calibri"/>
                <w:b/>
                <w:sz w:val="24"/>
                <w:szCs w:val="24"/>
                <w:lang w:eastAsia="en-US"/>
              </w:rPr>
              <w:t>.</w:t>
            </w:r>
            <w:r w:rsidR="00FC0B51" w:rsidRPr="00256E55">
              <w:rPr>
                <w:rFonts w:eastAsia="Calibri"/>
                <w:b/>
                <w:sz w:val="24"/>
                <w:szCs w:val="24"/>
                <w:lang w:eastAsia="en-US"/>
              </w:rPr>
              <w:t>Съответствие с критерий за оценка 7. „</w:t>
            </w:r>
            <w:r w:rsidR="00FC0B51" w:rsidRPr="00256E55">
              <w:rPr>
                <w:rFonts w:eastAsia="Calibri"/>
                <w:b/>
                <w:sz w:val="24"/>
                <w:szCs w:val="24"/>
              </w:rPr>
              <w:t>Подпомагане на проекти за въвеждане на нови и енергоспестяващи технологии и иновации в преработвателната промишленост“:</w:t>
            </w:r>
          </w:p>
          <w:p w14:paraId="3F5902ED" w14:textId="7721F0B7" w:rsidR="00FC0B51" w:rsidRDefault="00256E55" w:rsidP="00B44AE0">
            <w:pPr>
              <w:pStyle w:val="Default"/>
              <w:ind w:left="720"/>
              <w:jc w:val="both"/>
            </w:pPr>
            <w:r>
              <w:t>5</w:t>
            </w:r>
            <w:r w:rsidR="00B44AE0">
              <w:t>.1.</w:t>
            </w:r>
            <w:r w:rsidR="00BD6FA6" w:rsidRPr="009D3C26">
              <w:t>По критерий</w:t>
            </w:r>
            <w:r w:rsidR="00BD6FA6">
              <w:t xml:space="preserve"> за оценка 7</w:t>
            </w:r>
            <w:r w:rsidR="00BD6FA6" w:rsidRPr="009D3C26">
              <w:t xml:space="preserve"> съответния брой точки получават проекти, които след изпълнение на инвестициите по проекта повишават енергийната ефективност на стопанството с минимум 5 % (промишлената система, включително и наличната и закупуваната по проект земеделска техника). Това условие се доказва с резюме и доклад за отразяване на резултатите от енергийно обследване на промишлената система, съобразно изискванията на Наредба № РД-16-346 от 2.04.2009 г. за показателите за разход на енергия, енергийните характеристики на промишлени системи, условията и реда за извършване на обследване за енергийна ефективност на промишлени системи, изготвени от правоспособни лица, вписани в публичния регистър по чл. 34, ал. 1 от Закона за енергийна ефективност (ЗЕЕ). Проекти, включващи инвестиции за изграждане на нови сгради получават точки по този критерий, когато надхвърлят задължителните минимални изисквания за енергийна ефективност по Закона за енергийна ефективност и Закона за устройство на територията като е налице повишаване на енергийната ефективност с минимум 5 % за земеделското стопанство. </w:t>
            </w:r>
          </w:p>
          <w:p w14:paraId="1C5473B2" w14:textId="77777777" w:rsidR="00FC0B51" w:rsidRDefault="00FC0B51" w:rsidP="00FC0B51">
            <w:pPr>
              <w:pStyle w:val="Default"/>
              <w:ind w:left="720"/>
              <w:jc w:val="both"/>
            </w:pPr>
          </w:p>
          <w:p w14:paraId="13E50C99" w14:textId="209138E0" w:rsidR="00BD6FA6" w:rsidRPr="009D3C26" w:rsidRDefault="00256E55" w:rsidP="00FC0B51">
            <w:pPr>
              <w:pStyle w:val="Default"/>
              <w:ind w:left="720"/>
              <w:jc w:val="both"/>
            </w:pPr>
            <w:r>
              <w:t>5</w:t>
            </w:r>
            <w:r w:rsidR="00B44AE0">
              <w:t>.2.</w:t>
            </w:r>
            <w:r w:rsidR="00FC0B51">
              <w:t xml:space="preserve"> </w:t>
            </w:r>
            <w:r w:rsidR="00BD6FA6" w:rsidRPr="009D3C26">
              <w:t>По критерий</w:t>
            </w:r>
            <w:r w:rsidR="00BD6FA6">
              <w:t xml:space="preserve"> за оценка</w:t>
            </w:r>
            <w:r w:rsidR="00BD6FA6" w:rsidRPr="009D3C26">
              <w:t xml:space="preserve"> </w:t>
            </w:r>
            <w:r w:rsidR="00BD6FA6">
              <w:t>7</w:t>
            </w:r>
            <w:r w:rsidR="00BD6FA6" w:rsidRPr="009D3C26">
              <w:t xml:space="preserve"> съответния брой точки получават също и проекти, при които над 30% от допустимите инвестиционни разходи по проекта са свързани с иновации в стопанството. Допустимите инвестиционни разходи са насочени и доказващи: </w:t>
            </w:r>
          </w:p>
          <w:p w14:paraId="2A61E519" w14:textId="7F55F4A2" w:rsidR="00FC0B51" w:rsidRDefault="00BD6FA6" w:rsidP="00FC0B51">
            <w:pPr>
              <w:pStyle w:val="Default"/>
              <w:numPr>
                <w:ilvl w:val="0"/>
                <w:numId w:val="24"/>
              </w:numPr>
              <w:jc w:val="both"/>
            </w:pPr>
            <w:r w:rsidRPr="009D3C26">
              <w:t xml:space="preserve">иновативен продукт, произвеждан от стопанството/предприятието, за който са представени удостоверение за ползван патент или удостоверение за полезен модел, издадени от патентно ведомство в рамките на две години преди датата на подаване </w:t>
            </w:r>
            <w:r w:rsidRPr="009D3C26">
              <w:lastRenderedPageBreak/>
              <w:t xml:space="preserve">на заявлението за подпомагане. За определяне на процентното съотношение се взимат предвид само разходите за въвеждането на иновативния продукт. </w:t>
            </w:r>
            <w:r w:rsidR="00FC0B51">
              <w:t xml:space="preserve"> </w:t>
            </w:r>
          </w:p>
          <w:p w14:paraId="3D4EEEAE" w14:textId="510D9579" w:rsidR="00FC0B51" w:rsidRDefault="00BD6FA6" w:rsidP="00FC0B51">
            <w:pPr>
              <w:pStyle w:val="Default"/>
              <w:numPr>
                <w:ilvl w:val="0"/>
                <w:numId w:val="24"/>
              </w:numPr>
              <w:jc w:val="both"/>
            </w:pPr>
            <w:r w:rsidRPr="009D3C26">
              <w:t xml:space="preserve">въвеждане на нов производствен процес (машини, съоръжения и оборудване) и маркетинг, за който са представени удостоверение за ползван патент или удостоверение за полезен модел, издадени от патентно ведомство в рамките на две години преди датата на подаване на заявлението за подпомагане. За определяне на процентното съотношение се взимат предвид само разходите за съответната машина/съоръжение/оборудване. Патентът/ удостоверение за полезен модел следва да е за цялата/ото машина/съоръжение/оборудване. </w:t>
            </w:r>
          </w:p>
          <w:p w14:paraId="112C2A5C" w14:textId="77777777" w:rsidR="00FC0B51" w:rsidRDefault="00FC0B51" w:rsidP="00FC0B51">
            <w:pPr>
              <w:pStyle w:val="Default"/>
              <w:ind w:left="720"/>
              <w:jc w:val="both"/>
            </w:pPr>
          </w:p>
          <w:p w14:paraId="7C92E0C4" w14:textId="7ED3F0C1" w:rsidR="00EF20E8" w:rsidRDefault="00D46602" w:rsidP="00EF20E8">
            <w:pPr>
              <w:pStyle w:val="Default"/>
              <w:jc w:val="both"/>
            </w:pPr>
            <w:r w:rsidRPr="00D46602">
              <w:t>В т.11 „Допълнителна информация в ИСУН кандидатът следва да отбележи в поле „Съответствие с критериите за оценка и допълнителна информация“, че заявява съо</w:t>
            </w:r>
            <w:r>
              <w:t>тветствие с критерий за оценка 7</w:t>
            </w:r>
            <w:r w:rsidRPr="00D46602">
              <w:t xml:space="preserve"> и да опише, че представя съответния документ като доказателство.</w:t>
            </w:r>
          </w:p>
          <w:p w14:paraId="18F6EA09" w14:textId="77777777" w:rsidR="00D46602" w:rsidRPr="00FC0B51" w:rsidRDefault="00D46602" w:rsidP="00EF20E8">
            <w:pPr>
              <w:pStyle w:val="Default"/>
              <w:jc w:val="both"/>
            </w:pPr>
          </w:p>
          <w:p w14:paraId="51C48907" w14:textId="77777777" w:rsidR="0037093D" w:rsidRPr="000F173A" w:rsidRDefault="0037093D" w:rsidP="0037093D">
            <w:pPr>
              <w:spacing w:line="276" w:lineRule="auto"/>
              <w:jc w:val="both"/>
              <w:rPr>
                <w:rFonts w:eastAsia="Calibri"/>
                <w:b/>
                <w:sz w:val="24"/>
                <w:szCs w:val="24"/>
              </w:rPr>
            </w:pPr>
            <w:r w:rsidRPr="000F173A">
              <w:rPr>
                <w:rFonts w:eastAsia="Calibri"/>
                <w:b/>
                <w:sz w:val="24"/>
                <w:szCs w:val="24"/>
              </w:rPr>
              <w:t>В случай, че две или повече проектни предложения получат еднакъв общ брой точки по критериите за оценка и не е наличен финансов ресурс за финансирането им, тези проекти ще бъдат допълнително приоритизирани/класирани по следния начин:</w:t>
            </w:r>
          </w:p>
          <w:p w14:paraId="2A420225" w14:textId="77777777" w:rsidR="001D7B4A" w:rsidRPr="000F173A" w:rsidRDefault="001D7B4A" w:rsidP="0037093D">
            <w:pPr>
              <w:spacing w:line="276" w:lineRule="auto"/>
              <w:jc w:val="both"/>
              <w:rPr>
                <w:rFonts w:eastAsia="Calibri"/>
                <w:b/>
                <w:sz w:val="24"/>
                <w:szCs w:val="24"/>
              </w:rPr>
            </w:pPr>
          </w:p>
          <w:p w14:paraId="7BC9B8DE" w14:textId="77777777" w:rsidR="0037093D" w:rsidRPr="000F173A" w:rsidRDefault="0037093D" w:rsidP="0037093D">
            <w:pPr>
              <w:spacing w:line="276" w:lineRule="auto"/>
              <w:jc w:val="both"/>
              <w:rPr>
                <w:rFonts w:eastAsia="Calibri"/>
                <w:b/>
                <w:sz w:val="24"/>
                <w:szCs w:val="24"/>
              </w:rPr>
            </w:pPr>
            <w:r w:rsidRPr="000F173A">
              <w:rPr>
                <w:rFonts w:eastAsia="Calibri"/>
                <w:b/>
                <w:sz w:val="24"/>
                <w:szCs w:val="24"/>
              </w:rPr>
              <w:t>- по-високи показатели по критерий „Преработка на суровини  от чувствителни сектори (Над 50% от обема на преработваните суровини са от растителен или животински произход, попадащи в обхвата на чувствителните сектори);</w:t>
            </w:r>
          </w:p>
          <w:p w14:paraId="04C60900" w14:textId="77777777" w:rsidR="0037093D" w:rsidRPr="000F173A" w:rsidRDefault="0037093D" w:rsidP="0037093D">
            <w:pPr>
              <w:spacing w:line="276" w:lineRule="auto"/>
              <w:jc w:val="both"/>
              <w:rPr>
                <w:rFonts w:eastAsia="Calibri"/>
                <w:b/>
                <w:sz w:val="24"/>
                <w:szCs w:val="24"/>
              </w:rPr>
            </w:pPr>
            <w:r w:rsidRPr="000F173A">
              <w:rPr>
                <w:rFonts w:eastAsia="Calibri"/>
                <w:b/>
                <w:sz w:val="24"/>
                <w:szCs w:val="24"/>
              </w:rPr>
              <w:t>- по-високи показатели по критерий „Проекти, чието изпълнение води до осигуряване на устойчива заетост на територията на селските райони“;</w:t>
            </w:r>
          </w:p>
          <w:p w14:paraId="0AF254BF" w14:textId="3F0763BB" w:rsidR="0037093D" w:rsidRPr="00BB6BA0" w:rsidRDefault="0037093D" w:rsidP="004749B7">
            <w:pPr>
              <w:spacing w:before="120" w:after="120" w:line="259" w:lineRule="auto"/>
              <w:jc w:val="both"/>
              <w:rPr>
                <w:rFonts w:eastAsia="Calibri"/>
                <w:sz w:val="24"/>
                <w:szCs w:val="24"/>
                <w:lang w:eastAsia="en-US"/>
              </w:rPr>
            </w:pPr>
            <w:r w:rsidRPr="000F173A">
              <w:rPr>
                <w:rFonts w:eastAsia="Calibri"/>
                <w:b/>
                <w:sz w:val="24"/>
                <w:szCs w:val="24"/>
                <w:lang w:eastAsia="en-US"/>
              </w:rPr>
              <w:t>- по-високи показатели по критерий „Подпомагане на проекти за въвеждане на нови и енергоспестяващи технологии и иновации в преработвателната промишленост“.</w:t>
            </w:r>
          </w:p>
        </w:tc>
      </w:tr>
    </w:tbl>
    <w:p w14:paraId="62048A70" w14:textId="77777777" w:rsidR="007E4918" w:rsidRDefault="007E4918" w:rsidP="005B316D"/>
    <w:p w14:paraId="004A1217" w14:textId="68638776" w:rsidR="0006081F" w:rsidRDefault="00237BC8" w:rsidP="002A60BC">
      <w:pPr>
        <w:pStyle w:val="Heading1"/>
      </w:pPr>
      <w:bookmarkStart w:id="74" w:name="_Toc445385615"/>
      <w:bookmarkStart w:id="75" w:name="_Toc535495203"/>
      <w:r>
        <w:t>2</w:t>
      </w:r>
      <w:r w:rsidR="00D93C0A">
        <w:t>3</w:t>
      </w:r>
      <w:r w:rsidR="00093CB8" w:rsidRPr="007713C1">
        <w:t>. Начин на подаване на проектните предложения:</w:t>
      </w:r>
      <w:bookmarkEnd w:id="74"/>
      <w:bookmarkEnd w:id="75"/>
    </w:p>
    <w:tbl>
      <w:tblPr>
        <w:tblStyle w:val="TableGrid"/>
        <w:tblW w:w="0" w:type="auto"/>
        <w:tblLook w:val="04A0" w:firstRow="1" w:lastRow="0" w:firstColumn="1" w:lastColumn="0" w:noHBand="0" w:noVBand="1"/>
      </w:tblPr>
      <w:tblGrid>
        <w:gridCol w:w="9346"/>
      </w:tblGrid>
      <w:tr w:rsidR="00D93C0A" w:rsidRPr="007713C1" w14:paraId="1A2D30EA" w14:textId="77777777" w:rsidTr="00AC419D">
        <w:tc>
          <w:tcPr>
            <w:tcW w:w="9496" w:type="dxa"/>
          </w:tcPr>
          <w:p w14:paraId="1105D470" w14:textId="77777777" w:rsidR="00D93C0A" w:rsidRPr="008E1F5A" w:rsidRDefault="00D93C0A" w:rsidP="00AC419D">
            <w:pPr>
              <w:jc w:val="both"/>
              <w:rPr>
                <w:sz w:val="24"/>
                <w:szCs w:val="24"/>
              </w:rPr>
            </w:pPr>
            <w:r w:rsidRPr="008E1F5A">
              <w:rPr>
                <w:sz w:val="24"/>
                <w:szCs w:val="24"/>
              </w:rPr>
              <w:t xml:space="preserve">Документите за кандидатстване по настоящата процедура за подбор на проекти следва да бъдат подадени </w:t>
            </w:r>
            <w:r w:rsidRPr="00254ADE">
              <w:rPr>
                <w:b/>
                <w:sz w:val="24"/>
                <w:szCs w:val="24"/>
              </w:rPr>
              <w:t>само по електронен път</w:t>
            </w:r>
            <w:r>
              <w:rPr>
                <w:b/>
                <w:sz w:val="24"/>
                <w:szCs w:val="24"/>
              </w:rPr>
              <w:t xml:space="preserve"> </w:t>
            </w:r>
            <w:r w:rsidRPr="008E1F5A">
              <w:rPr>
                <w:sz w:val="24"/>
                <w:szCs w:val="24"/>
              </w:rPr>
              <w:t>в ИСУН 2020</w:t>
            </w:r>
            <w:r w:rsidRPr="00254ADE">
              <w:rPr>
                <w:b/>
                <w:sz w:val="24"/>
                <w:szCs w:val="24"/>
              </w:rPr>
              <w:t>.</w:t>
            </w:r>
            <w:r w:rsidRPr="008E1F5A">
              <w:rPr>
                <w:sz w:val="24"/>
                <w:szCs w:val="24"/>
              </w:rPr>
              <w:t xml:space="preserve"> Интернет адресът на модула за електронно кандидатстване на ИСУН 2020 е: </w:t>
            </w:r>
            <w:hyperlink r:id="rId10" w:history="1">
              <w:r w:rsidRPr="008E1F5A">
                <w:rPr>
                  <w:rStyle w:val="Hyperlink"/>
                  <w:sz w:val="24"/>
                  <w:szCs w:val="24"/>
                </w:rPr>
                <w:t>http://eumis2020.government.bg/</w:t>
              </w:r>
            </w:hyperlink>
            <w:r w:rsidRPr="008E1F5A">
              <w:rPr>
                <w:sz w:val="24"/>
                <w:szCs w:val="24"/>
              </w:rPr>
              <w:t>, където е налично ръководство за работа със системата.</w:t>
            </w:r>
          </w:p>
          <w:p w14:paraId="27B3948C" w14:textId="77777777" w:rsidR="00D93C0A" w:rsidRPr="008E1F5A" w:rsidRDefault="00D93C0A" w:rsidP="00AC419D">
            <w:pPr>
              <w:jc w:val="both"/>
              <w:rPr>
                <w:sz w:val="24"/>
                <w:szCs w:val="24"/>
              </w:rPr>
            </w:pPr>
          </w:p>
          <w:p w14:paraId="2F5679C1" w14:textId="77777777" w:rsidR="00D93C0A" w:rsidRPr="007400B6" w:rsidRDefault="00D93C0A" w:rsidP="00AC419D">
            <w:pPr>
              <w:jc w:val="both"/>
              <w:rPr>
                <w:sz w:val="24"/>
                <w:szCs w:val="24"/>
                <w:shd w:val="clear" w:color="auto" w:fill="FEFEFE"/>
              </w:rPr>
            </w:pPr>
            <w:r w:rsidRPr="007400B6">
              <w:rPr>
                <w:sz w:val="24"/>
                <w:szCs w:val="24"/>
                <w:shd w:val="clear" w:color="auto" w:fill="FEFEFE"/>
              </w:rPr>
              <w:t xml:space="preserve">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Когато кандидатът се представлява от няколко лица заедно, формулярът се подписва от всяко от тях с КЕП. </w:t>
            </w:r>
            <w:r w:rsidRPr="007400B6">
              <w:rPr>
                <w:sz w:val="24"/>
                <w:szCs w:val="24"/>
                <w:shd w:val="clear" w:color="auto" w:fill="FEFEFE"/>
              </w:rPr>
              <w:lastRenderedPageBreak/>
              <w:t>Когато проектното предложение се подава от упълномощено лице, се прилага изрично нотариално заверено пълномощно и формулярът се подписва с КЕП на упълномощеното лице.</w:t>
            </w:r>
          </w:p>
          <w:p w14:paraId="2389B21D" w14:textId="77777777" w:rsidR="00D93C0A" w:rsidRDefault="00D93C0A" w:rsidP="00AC419D">
            <w:pPr>
              <w:jc w:val="both"/>
              <w:rPr>
                <w:sz w:val="24"/>
                <w:szCs w:val="24"/>
                <w:shd w:val="clear" w:color="auto" w:fill="FEFEFE"/>
              </w:rPr>
            </w:pPr>
          </w:p>
          <w:p w14:paraId="7482C392" w14:textId="77777777" w:rsidR="00D93C0A" w:rsidRPr="007400B6" w:rsidRDefault="00D93C0A" w:rsidP="00AC419D">
            <w:pPr>
              <w:jc w:val="both"/>
              <w:rPr>
                <w:sz w:val="24"/>
                <w:szCs w:val="24"/>
                <w:shd w:val="clear" w:color="auto" w:fill="FEFEFE"/>
              </w:rPr>
            </w:pPr>
            <w:r w:rsidRPr="007400B6">
              <w:rPr>
                <w:sz w:val="24"/>
                <w:szCs w:val="24"/>
                <w:shd w:val="clear" w:color="auto" w:fill="FEFEFE"/>
              </w:rPr>
              <w:t>Документите се прилагат към формуляра за кандидатстване във формат „рdf“, „xls“ или друг формат, указан в Раздел 24</w:t>
            </w:r>
            <w:r w:rsidRPr="007400B6">
              <w:rPr>
                <w:sz w:val="24"/>
                <w:szCs w:val="24"/>
              </w:rPr>
              <w:t xml:space="preserve"> „</w:t>
            </w:r>
            <w:r w:rsidRPr="007400B6">
              <w:rPr>
                <w:sz w:val="24"/>
                <w:szCs w:val="24"/>
                <w:shd w:val="clear" w:color="auto" w:fill="FEFEFE"/>
              </w:rPr>
              <w:t>Списък на документите, които се подават на етап кандидатстване“. Основната информация за проектното предложение се прилага във формат „рdf“, подписан от кандидата и във формат „xls”. Оригиналите на документите се съхраняват от кандидата/бенефициента и се представят при поискване.</w:t>
            </w:r>
          </w:p>
          <w:p w14:paraId="5795AB5A" w14:textId="77777777" w:rsidR="00D93C0A" w:rsidRDefault="00D93C0A" w:rsidP="00AC419D">
            <w:pPr>
              <w:jc w:val="both"/>
              <w:rPr>
                <w:sz w:val="24"/>
                <w:szCs w:val="24"/>
                <w:shd w:val="clear" w:color="auto" w:fill="FEFEFE"/>
              </w:rPr>
            </w:pPr>
          </w:p>
          <w:p w14:paraId="23DB8A84" w14:textId="77777777" w:rsidR="00D93C0A" w:rsidRPr="007400B6" w:rsidRDefault="00D93C0A" w:rsidP="00AC419D">
            <w:pPr>
              <w:jc w:val="both"/>
              <w:rPr>
                <w:sz w:val="24"/>
                <w:szCs w:val="24"/>
                <w:shd w:val="clear" w:color="auto" w:fill="FEFEFE"/>
              </w:rPr>
            </w:pPr>
            <w:r w:rsidRPr="007400B6">
              <w:rPr>
                <w:sz w:val="24"/>
                <w:szCs w:val="24"/>
                <w:shd w:val="clear" w:color="auto" w:fill="FEFEFE"/>
              </w:rPr>
              <w:t>Документите, приложени към формуляра за кандидатстване, както и тези, представени от кандидатите/бенефициентите в резултат на допълнително искане от оценителната комисия,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w:t>
            </w:r>
            <w:r w:rsidRPr="007400B6">
              <w:rPr>
                <w:sz w:val="24"/>
                <w:szCs w:val="24"/>
              </w:rPr>
              <w:t xml:space="preserve"> с </w:t>
            </w:r>
            <w:r w:rsidRPr="007400B6">
              <w:rPr>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14:paraId="385DB63B" w14:textId="77777777" w:rsidR="00D93C0A" w:rsidRPr="008E1F5A" w:rsidRDefault="00D93C0A" w:rsidP="00AC419D">
            <w:pPr>
              <w:jc w:val="both"/>
              <w:rPr>
                <w:sz w:val="24"/>
                <w:szCs w:val="24"/>
              </w:rPr>
            </w:pPr>
          </w:p>
          <w:p w14:paraId="7E24CBD3" w14:textId="77777777" w:rsidR="00D93C0A" w:rsidRDefault="00D93C0A" w:rsidP="00AC419D">
            <w:pPr>
              <w:jc w:val="both"/>
              <w:rPr>
                <w:sz w:val="24"/>
                <w:szCs w:val="24"/>
              </w:rPr>
            </w:pPr>
            <w:r w:rsidRPr="008E1F5A">
              <w:rPr>
                <w:sz w:val="24"/>
                <w:szCs w:val="24"/>
              </w:rPr>
              <w:t xml:space="preserve">Подготовката, подаването и регистрирането на проектното предложение в ИСУН 2020 се извършва по следния начин: </w:t>
            </w:r>
          </w:p>
          <w:p w14:paraId="64AC480C" w14:textId="77777777" w:rsidR="00D93C0A" w:rsidRPr="008E1F5A" w:rsidRDefault="00D93C0A" w:rsidP="00AC419D">
            <w:pPr>
              <w:jc w:val="both"/>
              <w:rPr>
                <w:sz w:val="24"/>
                <w:szCs w:val="24"/>
              </w:rPr>
            </w:pPr>
          </w:p>
          <w:p w14:paraId="4054F1DD" w14:textId="77777777" w:rsidR="00D93C0A" w:rsidRPr="008E1F5A" w:rsidRDefault="00D93C0A" w:rsidP="00AC419D">
            <w:pPr>
              <w:jc w:val="both"/>
              <w:rPr>
                <w:sz w:val="24"/>
                <w:szCs w:val="24"/>
              </w:rPr>
            </w:pPr>
            <w:r w:rsidRPr="008E1F5A">
              <w:rPr>
                <w:sz w:val="24"/>
                <w:szCs w:val="24"/>
              </w:rPr>
              <w:t xml:space="preserve">Кандидатът влиза в ИСУН 2020 през модула за електронни услуги на адрес: </w:t>
            </w:r>
            <w:hyperlink r:id="rId11" w:history="1">
              <w:r w:rsidRPr="008E1F5A">
                <w:rPr>
                  <w:rStyle w:val="Hyperlink"/>
                  <w:sz w:val="24"/>
                  <w:szCs w:val="24"/>
                </w:rPr>
                <w:t>https://eumis2020.government.bg/</w:t>
              </w:r>
            </w:hyperlink>
          </w:p>
          <w:p w14:paraId="15CF8EA5" w14:textId="77777777" w:rsidR="00D93C0A" w:rsidRDefault="00D93C0A" w:rsidP="00AC419D">
            <w:pPr>
              <w:jc w:val="both"/>
              <w:rPr>
                <w:sz w:val="24"/>
                <w:szCs w:val="24"/>
              </w:rPr>
            </w:pPr>
            <w:r w:rsidRPr="008E1F5A">
              <w:rPr>
                <w:sz w:val="24"/>
                <w:szCs w:val="24"/>
              </w:rPr>
              <w:t>Кандидатът се регистрира в системата като нов потребител (ако е приложимо), след което има достъп до нея чрез потребителско име (електронна поща) и парола.</w:t>
            </w:r>
          </w:p>
          <w:p w14:paraId="569FFDDF" w14:textId="77777777" w:rsidR="00D93C0A" w:rsidRPr="008E1F5A" w:rsidRDefault="00D93C0A" w:rsidP="00AC419D">
            <w:pPr>
              <w:jc w:val="both"/>
              <w:rPr>
                <w:sz w:val="24"/>
                <w:szCs w:val="24"/>
              </w:rPr>
            </w:pPr>
          </w:p>
          <w:p w14:paraId="52DB3B1D" w14:textId="77777777" w:rsidR="00D93C0A" w:rsidRPr="008E1F5A" w:rsidRDefault="00D93C0A" w:rsidP="00AC419D">
            <w:pPr>
              <w:jc w:val="both"/>
              <w:rPr>
                <w:sz w:val="24"/>
                <w:szCs w:val="24"/>
              </w:rPr>
            </w:pPr>
            <w:r w:rsidRPr="008E1F5A">
              <w:rPr>
                <w:sz w:val="24"/>
                <w:szCs w:val="24"/>
              </w:rPr>
              <w:t xml:space="preserve">ВАЖНО! </w:t>
            </w:r>
          </w:p>
          <w:p w14:paraId="3F779EFA" w14:textId="77777777" w:rsidR="00D93C0A" w:rsidRDefault="00D93C0A" w:rsidP="00AC419D">
            <w:pPr>
              <w:jc w:val="both"/>
              <w:rPr>
                <w:sz w:val="24"/>
                <w:szCs w:val="24"/>
              </w:rPr>
            </w:pPr>
            <w:r w:rsidRPr="008E1F5A">
              <w:rPr>
                <w:sz w:val="24"/>
                <w:szCs w:val="24"/>
              </w:rPr>
              <w:t>Моля обърнете внимание, че електронната поща, с която се регистрирате като потребител в ИСУН 2020 е асоциирана с профила на кандидата. Комуникацията (Кореспонденцията) с кандидата по време на оценка на проектното предложение се осъществява по електронен път чрез профила на кандидата в ИСУН 2020, от който е подаден съответния проект и промени на посочения профил са невъзможни.</w:t>
            </w:r>
          </w:p>
          <w:p w14:paraId="6B1AB5AF" w14:textId="77777777" w:rsidR="00D93C0A" w:rsidRDefault="00D93C0A" w:rsidP="00AC419D">
            <w:pPr>
              <w:jc w:val="both"/>
              <w:rPr>
                <w:sz w:val="24"/>
                <w:szCs w:val="24"/>
              </w:rPr>
            </w:pPr>
          </w:p>
          <w:p w14:paraId="7AB8E4BF" w14:textId="52A32482" w:rsidR="00D93C0A" w:rsidRPr="008E1F5A" w:rsidRDefault="00D93C0A" w:rsidP="00AC419D">
            <w:pPr>
              <w:jc w:val="both"/>
              <w:rPr>
                <w:sz w:val="24"/>
                <w:szCs w:val="24"/>
              </w:rPr>
            </w:pPr>
            <w:r w:rsidRPr="008E1F5A">
              <w:rPr>
                <w:sz w:val="24"/>
                <w:szCs w:val="24"/>
              </w:rPr>
              <w:t>Кандидатът</w:t>
            </w:r>
            <w:r w:rsidRPr="008E1F5A" w:rsidDel="00FD122A">
              <w:rPr>
                <w:sz w:val="24"/>
                <w:szCs w:val="24"/>
              </w:rPr>
              <w:t xml:space="preserve"> </w:t>
            </w:r>
            <w:r w:rsidRPr="008E1F5A">
              <w:rPr>
                <w:sz w:val="24"/>
                <w:szCs w:val="24"/>
              </w:rPr>
              <w:t xml:space="preserve">избира процедура </w:t>
            </w:r>
            <w:r w:rsidR="00CF24BC" w:rsidRPr="00CF24BC">
              <w:rPr>
                <w:sz w:val="24"/>
                <w:szCs w:val="24"/>
              </w:rPr>
              <w:t>BG06RDNP001-19.605</w:t>
            </w:r>
            <w:r w:rsidR="00CF24BC">
              <w:rPr>
                <w:sz w:val="24"/>
                <w:szCs w:val="24"/>
              </w:rPr>
              <w:t xml:space="preserve"> </w:t>
            </w:r>
            <w:r w:rsidR="004D55AE">
              <w:rPr>
                <w:sz w:val="24"/>
                <w:szCs w:val="24"/>
              </w:rPr>
              <w:t xml:space="preserve">МИГ </w:t>
            </w:r>
            <w:r w:rsidRPr="008E1F5A">
              <w:rPr>
                <w:sz w:val="24"/>
                <w:szCs w:val="24"/>
              </w:rPr>
              <w:t>Поморие_</w:t>
            </w:r>
            <w:r w:rsidR="004D55AE">
              <w:rPr>
                <w:sz w:val="24"/>
                <w:szCs w:val="24"/>
              </w:rPr>
              <w:t>4.2</w:t>
            </w:r>
            <w:r w:rsidRPr="008E1F5A">
              <w:rPr>
                <w:sz w:val="24"/>
                <w:szCs w:val="24"/>
              </w:rPr>
              <w:t>_</w:t>
            </w:r>
            <w:r w:rsidR="004D55AE">
              <w:rPr>
                <w:sz w:val="24"/>
                <w:szCs w:val="24"/>
              </w:rPr>
              <w:t>М2</w:t>
            </w:r>
            <w:r w:rsidRPr="008E1F5A">
              <w:rPr>
                <w:sz w:val="24"/>
                <w:szCs w:val="24"/>
              </w:rPr>
              <w:t xml:space="preserve"> „Инвестиции в </w:t>
            </w:r>
            <w:r w:rsidR="004D55AE">
              <w:rPr>
                <w:sz w:val="24"/>
                <w:szCs w:val="24"/>
              </w:rPr>
              <w:t>преработка/маркетинг на селскостопански продукти</w:t>
            </w:r>
            <w:r w:rsidRPr="008E1F5A">
              <w:rPr>
                <w:sz w:val="24"/>
                <w:szCs w:val="24"/>
              </w:rPr>
              <w:t>” от наличните отворени за кандидатстване процедури.</w:t>
            </w:r>
          </w:p>
          <w:p w14:paraId="222C5C10" w14:textId="77777777" w:rsidR="00D93C0A" w:rsidRDefault="00D93C0A" w:rsidP="00AC419D">
            <w:pPr>
              <w:jc w:val="both"/>
              <w:rPr>
                <w:sz w:val="24"/>
                <w:szCs w:val="24"/>
              </w:rPr>
            </w:pPr>
            <w:r w:rsidRPr="008E1F5A">
              <w:rPr>
                <w:sz w:val="24"/>
                <w:szCs w:val="24"/>
              </w:rPr>
              <w:lastRenderedPageBreak/>
              <w:t>Кандидатът изтегля ново проектно предложение за кандидатстване по съответната процедура.</w:t>
            </w:r>
          </w:p>
          <w:p w14:paraId="1AD4A237" w14:textId="77777777" w:rsidR="00D93C0A" w:rsidRPr="008E1F5A" w:rsidRDefault="00D93C0A" w:rsidP="00AC419D">
            <w:pPr>
              <w:jc w:val="both"/>
              <w:rPr>
                <w:sz w:val="24"/>
                <w:szCs w:val="24"/>
              </w:rPr>
            </w:pPr>
          </w:p>
          <w:p w14:paraId="6A5FC7A2" w14:textId="77777777" w:rsidR="00D93C0A" w:rsidRPr="008E1F5A" w:rsidRDefault="00D93C0A" w:rsidP="00AC419D">
            <w:pPr>
              <w:jc w:val="both"/>
              <w:rPr>
                <w:sz w:val="24"/>
                <w:szCs w:val="24"/>
              </w:rPr>
            </w:pPr>
            <w:r w:rsidRPr="008E1F5A">
              <w:rPr>
                <w:sz w:val="24"/>
                <w:szCs w:val="24"/>
              </w:rPr>
              <w:t xml:space="preserve">Кандидатът попълва формуляра за кандидатстване по процедурата следвайки указанията за работа със системата на адрес: </w:t>
            </w:r>
            <w:hyperlink r:id="rId12" w:history="1">
              <w:r w:rsidRPr="008E1F5A">
                <w:rPr>
                  <w:rStyle w:val="Hyperlink"/>
                  <w:sz w:val="24"/>
                  <w:szCs w:val="24"/>
                </w:rPr>
                <w:t>https://eumis2020.government.bg/bg/s/Home/Manual</w:t>
              </w:r>
            </w:hyperlink>
            <w:r w:rsidRPr="008E1F5A">
              <w:rPr>
                <w:sz w:val="24"/>
                <w:szCs w:val="24"/>
              </w:rPr>
              <w:t>. Системата предоставя възможност за коригиране, запазване и допълване на формуляра докато той е в работен режим (чернова). Всеки формуляр може да бъде записан локално, на файл в специален формат, който може да се отваря единствено от ИСУН 2020. Системата позволява зареждането на локално записан файл на формуляр за кандидатстване и редакция по него, от друг потребител, който е регистриран в системата, когато това е необходимо.</w:t>
            </w:r>
          </w:p>
          <w:p w14:paraId="777A7FC5" w14:textId="77777777" w:rsidR="00D93C0A" w:rsidRPr="008E1F5A" w:rsidRDefault="00D93C0A" w:rsidP="00AC419D">
            <w:pPr>
              <w:jc w:val="both"/>
              <w:rPr>
                <w:sz w:val="24"/>
                <w:szCs w:val="24"/>
              </w:rPr>
            </w:pPr>
            <w:r w:rsidRPr="008E1F5A">
              <w:rPr>
                <w:sz w:val="24"/>
                <w:szCs w:val="24"/>
              </w:rPr>
              <w:t xml:space="preserve">Кандидатът прикачва към формуляра за кандидатстване допълнително изискуемите документи (посочени в т. </w:t>
            </w:r>
            <w:r>
              <w:rPr>
                <w:sz w:val="24"/>
                <w:szCs w:val="24"/>
              </w:rPr>
              <w:t xml:space="preserve">24 </w:t>
            </w:r>
            <w:r w:rsidRPr="008E1F5A">
              <w:rPr>
                <w:sz w:val="24"/>
                <w:szCs w:val="24"/>
              </w:rPr>
              <w:t>от Условията) в специално обособена секция.</w:t>
            </w:r>
          </w:p>
          <w:p w14:paraId="31849451" w14:textId="77777777" w:rsidR="00D93C0A" w:rsidRPr="008E1F5A" w:rsidRDefault="00D93C0A" w:rsidP="00AC419D">
            <w:pPr>
              <w:jc w:val="both"/>
              <w:rPr>
                <w:sz w:val="24"/>
                <w:szCs w:val="24"/>
              </w:rPr>
            </w:pPr>
            <w:r w:rsidRPr="008E1F5A">
              <w:rPr>
                <w:sz w:val="24"/>
                <w:szCs w:val="24"/>
              </w:rPr>
              <w:t>Кандидатът указва в системата, че финализира формуляра за кандидатстване. Преди да финализира формуляра за кандидатстване, кандидатът може да го провери за грешки чрез бутон „Провери формуляра за грешки“ от менюто в долния край на екрана.</w:t>
            </w:r>
          </w:p>
          <w:p w14:paraId="463AA2B2" w14:textId="77777777" w:rsidR="00D93C0A" w:rsidRPr="008E1F5A" w:rsidRDefault="00D93C0A" w:rsidP="00AC419D">
            <w:pPr>
              <w:jc w:val="both"/>
              <w:rPr>
                <w:sz w:val="24"/>
                <w:szCs w:val="24"/>
              </w:rPr>
            </w:pPr>
            <w:r w:rsidRPr="008E1F5A">
              <w:rPr>
                <w:sz w:val="24"/>
                <w:szCs w:val="24"/>
              </w:rPr>
              <w:t>Системата позволява запис на създадения формуляр за кандидатстване на работния компютър на кандидата, подписването му от един или повече представители на кандидата с КЕП и прикачване на генерираните файлове.</w:t>
            </w:r>
          </w:p>
          <w:p w14:paraId="52805424" w14:textId="77777777" w:rsidR="00D93C0A" w:rsidRPr="008E1F5A" w:rsidRDefault="00D93C0A" w:rsidP="00AC419D">
            <w:pPr>
              <w:jc w:val="both"/>
              <w:rPr>
                <w:sz w:val="24"/>
                <w:szCs w:val="24"/>
              </w:rPr>
            </w:pPr>
            <w:r w:rsidRPr="008E1F5A">
              <w:rPr>
                <w:sz w:val="24"/>
                <w:szCs w:val="24"/>
              </w:rPr>
              <w:t>При коректно извършване на описаните действия кандидатът изпраща формуляра за кандидатстване и документите към него чрез системата.</w:t>
            </w:r>
          </w:p>
          <w:p w14:paraId="2028BBE0" w14:textId="77777777" w:rsidR="00D93C0A" w:rsidRPr="008E1F5A" w:rsidRDefault="00D93C0A" w:rsidP="00AC419D">
            <w:pPr>
              <w:jc w:val="both"/>
              <w:rPr>
                <w:sz w:val="24"/>
                <w:szCs w:val="24"/>
              </w:rPr>
            </w:pPr>
            <w:r w:rsidRPr="008E1F5A">
              <w:rPr>
                <w:sz w:val="24"/>
                <w:szCs w:val="24"/>
              </w:rPr>
              <w:t>Системата регистрира подаденото проектно предложение и генерира регистрационен номер.</w:t>
            </w:r>
          </w:p>
          <w:p w14:paraId="55BC4F33" w14:textId="77777777" w:rsidR="00D93C0A" w:rsidRPr="008E1F5A" w:rsidRDefault="00D93C0A" w:rsidP="00AC419D">
            <w:pPr>
              <w:jc w:val="both"/>
              <w:rPr>
                <w:sz w:val="24"/>
                <w:szCs w:val="24"/>
              </w:rPr>
            </w:pPr>
            <w:r w:rsidRPr="008E1F5A">
              <w:rPr>
                <w:sz w:val="24"/>
                <w:szCs w:val="24"/>
              </w:rPr>
              <w:t>Системата изпраща уведомление до посочения електронен адрес на потребителя, че проектното предложение е регистрирано със съответния регистрационен номер.</w:t>
            </w:r>
          </w:p>
          <w:p w14:paraId="343734AA" w14:textId="77777777" w:rsidR="00D93C0A" w:rsidRPr="008E1F5A" w:rsidRDefault="00D93C0A" w:rsidP="00AC419D">
            <w:pPr>
              <w:jc w:val="both"/>
              <w:rPr>
                <w:sz w:val="24"/>
                <w:szCs w:val="24"/>
              </w:rPr>
            </w:pPr>
            <w:r w:rsidRPr="008E1F5A">
              <w:rPr>
                <w:sz w:val="24"/>
                <w:szCs w:val="24"/>
              </w:rPr>
              <w:t>До приключване на работата на оценителната комисия кандидатът има възможност да оттегли своето проектно предложение като подаде писмено искане до МИГ на хартиен носител, подписано от поне един от представляващите кандидата и подпечатано, като това обстоятелство се отбелязва в ИСУН 2020 от потребител на системата със съответните права и оттегленото проектно предложение не се разглежда от оценителната комисия.</w:t>
            </w:r>
          </w:p>
          <w:p w14:paraId="44EC2F21" w14:textId="77777777" w:rsidR="00D93C0A" w:rsidRPr="008E1F5A" w:rsidRDefault="00D93C0A" w:rsidP="00AC419D">
            <w:pPr>
              <w:jc w:val="both"/>
              <w:rPr>
                <w:sz w:val="24"/>
                <w:szCs w:val="24"/>
              </w:rPr>
            </w:pPr>
            <w:r w:rsidRPr="008E1F5A">
              <w:rPr>
                <w:sz w:val="24"/>
                <w:szCs w:val="24"/>
              </w:rPr>
              <w:t>Формулярът за кандидатстване трябва да бъде попълнен внимателно и максимално ясно, така че да може да бъде оценен правилно. Всякакви грешки или несъответствия, допуснати при попълване на Формуляра за кандидатстване могат да доведат до отхвърляне на проектното предложение.</w:t>
            </w:r>
          </w:p>
          <w:p w14:paraId="33D8E8DE" w14:textId="77777777" w:rsidR="00D93C0A" w:rsidRPr="008E1F5A" w:rsidRDefault="00D93C0A" w:rsidP="00AC419D">
            <w:pPr>
              <w:jc w:val="both"/>
              <w:rPr>
                <w:sz w:val="24"/>
                <w:szCs w:val="24"/>
              </w:rPr>
            </w:pPr>
            <w:r w:rsidRPr="008E1F5A">
              <w:rPr>
                <w:sz w:val="24"/>
                <w:szCs w:val="24"/>
              </w:rPr>
              <w:t>При оценката на проектните предложения оценителната комисия може да изиска допълнителна пояснителна информация или документ от кандидатите. Комуникацията с кандидатите се осъществява посредством Информационната система за управление и наблюдение ИСУН 2020 чрез профила на кандидата и асоциирания към него електронен адрес на потребителя.</w:t>
            </w:r>
          </w:p>
          <w:p w14:paraId="236A6B5C" w14:textId="77777777" w:rsidR="00D93C0A" w:rsidRDefault="00D93C0A" w:rsidP="00AC419D">
            <w:pPr>
              <w:jc w:val="both"/>
              <w:rPr>
                <w:sz w:val="24"/>
                <w:szCs w:val="24"/>
              </w:rPr>
            </w:pPr>
            <w:r w:rsidRPr="008E1F5A">
              <w:rPr>
                <w:sz w:val="24"/>
                <w:szCs w:val="24"/>
              </w:rPr>
              <w:lastRenderedPageBreak/>
              <w:t>Следва да се има предвид обаче, че Формулярът за кандидатстване не може да бъде изискван допълнително и непредставянето на някое от изисканите приложения може да доведе до автоматичното отхвърляне от оценителната комисия на проектното предложение.</w:t>
            </w:r>
          </w:p>
          <w:p w14:paraId="44A572AD" w14:textId="77777777" w:rsidR="00D93C0A" w:rsidRPr="007713C1" w:rsidRDefault="00D93C0A" w:rsidP="00AC419D">
            <w:pPr>
              <w:jc w:val="both"/>
              <w:rPr>
                <w:b/>
              </w:rPr>
            </w:pPr>
          </w:p>
        </w:tc>
      </w:tr>
    </w:tbl>
    <w:p w14:paraId="1BCE1A71" w14:textId="77777777" w:rsidR="00B44AE0" w:rsidRDefault="00B44AE0" w:rsidP="003A2D4B">
      <w:pPr>
        <w:pStyle w:val="Heading1"/>
      </w:pPr>
      <w:bookmarkStart w:id="76" w:name="_Toc445385616"/>
    </w:p>
    <w:p w14:paraId="7CF45EE6" w14:textId="4E64F4BC" w:rsidR="007F710B" w:rsidRDefault="00B85DDC" w:rsidP="003A2D4B">
      <w:pPr>
        <w:pStyle w:val="Heading1"/>
      </w:pPr>
      <w:bookmarkStart w:id="77" w:name="_Toc535495204"/>
      <w:r>
        <w:t>2</w:t>
      </w:r>
      <w:r w:rsidR="00D93C0A">
        <w:t>4</w:t>
      </w:r>
      <w:r w:rsidR="007F710B" w:rsidRPr="007713C1">
        <w:t>. Списък на документите, които се</w:t>
      </w:r>
      <w:r w:rsidR="00ED52D4" w:rsidRPr="007713C1">
        <w:t xml:space="preserve"> подават на етап кандидатстване</w:t>
      </w:r>
      <w:r w:rsidR="007F710B" w:rsidRPr="007713C1">
        <w:t>:</w:t>
      </w:r>
      <w:bookmarkEnd w:id="76"/>
      <w:bookmarkEnd w:id="77"/>
    </w:p>
    <w:p w14:paraId="69C610A9" w14:textId="40D52D49" w:rsidR="00D93C0A" w:rsidRPr="0017509D" w:rsidRDefault="009A5DFF" w:rsidP="00B3378C">
      <w:pPr>
        <w:pBdr>
          <w:top w:val="single" w:sz="4" w:space="1" w:color="auto"/>
          <w:left w:val="single" w:sz="4" w:space="0" w:color="auto"/>
          <w:bottom w:val="single" w:sz="4" w:space="1" w:color="auto"/>
          <w:right w:val="single" w:sz="4" w:space="0" w:color="auto"/>
        </w:pBdr>
        <w:jc w:val="both"/>
        <w:rPr>
          <w:rFonts w:ascii="Times New Roman" w:hAnsi="Times New Roman" w:cs="Times New Roman"/>
          <w:sz w:val="24"/>
          <w:szCs w:val="24"/>
        </w:rPr>
      </w:pPr>
      <w:r w:rsidRPr="009C677B">
        <w:rPr>
          <w:rFonts w:ascii="Times New Roman" w:hAnsi="Times New Roman" w:cs="Times New Roman"/>
          <w:sz w:val="24"/>
          <w:szCs w:val="24"/>
        </w:rPr>
        <w:t>В случай, че някой от приложимите документи, които се подават на етап кандидатстване, не е представен, същия се изисква от кандидата като пояснителна информация.  Документът следва да се представи в срока, определен от оценителната комисия. Непредставянето на документа след искането му от Оценителната комисия е основание за отхвърляне на проектното предложение.</w:t>
      </w:r>
    </w:p>
    <w:p w14:paraId="2FB2647E" w14:textId="0BD19495" w:rsidR="00D93C0A" w:rsidRPr="00D93C0A" w:rsidRDefault="00D93C0A" w:rsidP="00D93C0A">
      <w:pPr>
        <w:pStyle w:val="Heading2"/>
      </w:pPr>
      <w:bookmarkStart w:id="78" w:name="_Toc506212308"/>
      <w:bookmarkStart w:id="79" w:name="_Toc535495205"/>
      <w:r>
        <w:t>24.1. Списък с общи документи</w:t>
      </w:r>
      <w:bookmarkEnd w:id="78"/>
      <w:bookmarkEnd w:id="79"/>
    </w:p>
    <w:tbl>
      <w:tblPr>
        <w:tblStyle w:val="TableGrid"/>
        <w:tblW w:w="9464" w:type="dxa"/>
        <w:tblLook w:val="04A0" w:firstRow="1" w:lastRow="0" w:firstColumn="1" w:lastColumn="0" w:noHBand="0" w:noVBand="1"/>
      </w:tblPr>
      <w:tblGrid>
        <w:gridCol w:w="9464"/>
      </w:tblGrid>
      <w:tr w:rsidR="0006081F" w:rsidRPr="007713C1" w14:paraId="7863C227" w14:textId="77777777" w:rsidTr="00711D5B">
        <w:tc>
          <w:tcPr>
            <w:tcW w:w="9464" w:type="dxa"/>
          </w:tcPr>
          <w:p w14:paraId="45E998E3" w14:textId="7041E96D" w:rsidR="00106C0C" w:rsidRPr="006C05F7" w:rsidRDefault="00860384" w:rsidP="00106C0C">
            <w:pPr>
              <w:spacing w:before="120" w:after="120"/>
              <w:jc w:val="both"/>
              <w:rPr>
                <w:b/>
                <w:sz w:val="24"/>
                <w:szCs w:val="24"/>
                <w:u w:val="single"/>
              </w:rPr>
            </w:pPr>
            <w:r w:rsidRPr="006C05F7">
              <w:rPr>
                <w:b/>
                <w:sz w:val="24"/>
                <w:szCs w:val="24"/>
                <w:u w:val="single"/>
              </w:rPr>
              <w:t xml:space="preserve">I. </w:t>
            </w:r>
            <w:r w:rsidR="00503C4C">
              <w:rPr>
                <w:b/>
                <w:sz w:val="24"/>
                <w:szCs w:val="24"/>
                <w:u w:val="single"/>
              </w:rPr>
              <w:t>O</w:t>
            </w:r>
            <w:r w:rsidR="00106C0C" w:rsidRPr="006C05F7">
              <w:rPr>
                <w:b/>
                <w:sz w:val="24"/>
                <w:szCs w:val="24"/>
                <w:u w:val="single"/>
              </w:rPr>
              <w:t>бщи документи</w:t>
            </w:r>
          </w:p>
          <w:p w14:paraId="319C810B" w14:textId="4E2C50ED" w:rsidR="00860384" w:rsidRPr="003026DE" w:rsidRDefault="008246F7" w:rsidP="00860384">
            <w:pPr>
              <w:jc w:val="both"/>
              <w:rPr>
                <w:sz w:val="24"/>
                <w:szCs w:val="24"/>
              </w:rPr>
            </w:pPr>
            <w:r>
              <w:rPr>
                <w:sz w:val="24"/>
                <w:szCs w:val="24"/>
              </w:rPr>
              <w:t>1</w:t>
            </w:r>
            <w:r w:rsidR="00860384" w:rsidRPr="003026DE">
              <w:rPr>
                <w:sz w:val="24"/>
                <w:szCs w:val="24"/>
              </w:rPr>
              <w:t xml:space="preserve">. </w:t>
            </w:r>
            <w:r w:rsidR="003026DE" w:rsidRPr="00611AE6">
              <w:rPr>
                <w:sz w:val="24"/>
                <w:szCs w:val="24"/>
              </w:rPr>
              <w:t>Таблица за допустими инвестиции във формат „pdf”, подписан и сканиран от кандидата, както и във формат „</w:t>
            </w:r>
            <w:r w:rsidR="003026DE">
              <w:rPr>
                <w:sz w:val="24"/>
                <w:szCs w:val="24"/>
              </w:rPr>
              <w:t>xls“, „xlsx“;</w:t>
            </w:r>
          </w:p>
          <w:p w14:paraId="1E69F48C" w14:textId="6A219380" w:rsidR="008246F7" w:rsidRPr="00792B74" w:rsidRDefault="00151CEC" w:rsidP="008246F7">
            <w:pPr>
              <w:spacing w:before="120" w:after="120"/>
              <w:jc w:val="both"/>
              <w:rPr>
                <w:sz w:val="24"/>
                <w:szCs w:val="24"/>
                <w:shd w:val="clear" w:color="auto" w:fill="FEFEFE"/>
              </w:rPr>
            </w:pPr>
            <w:r>
              <w:rPr>
                <w:sz w:val="24"/>
                <w:szCs w:val="24"/>
                <w:shd w:val="clear" w:color="auto" w:fill="FEFEFE"/>
                <w:lang w:val="en-US"/>
              </w:rPr>
              <w:t xml:space="preserve">2. </w:t>
            </w:r>
            <w:r w:rsidR="008246F7" w:rsidRPr="00792B74">
              <w:rPr>
                <w:sz w:val="24"/>
                <w:szCs w:val="24"/>
                <w:shd w:val="clear" w:color="auto" w:fill="FEFEFE"/>
              </w:rPr>
              <w:t>Становище от съответната басейнова дирекция, доказващо, че обектите, предмет на инвестицията, не противоречат на плановете за управление на речните басейни в случаите на инвестиции с дейности по напояван</w:t>
            </w:r>
            <w:r w:rsidR="008246F7">
              <w:rPr>
                <w:sz w:val="24"/>
                <w:szCs w:val="24"/>
                <w:shd w:val="clear" w:color="auto" w:fill="FEFEFE"/>
              </w:rPr>
              <w:t>е, водовземане, водоснабдяване</w:t>
            </w:r>
            <w:r>
              <w:rPr>
                <w:sz w:val="24"/>
                <w:szCs w:val="24"/>
                <w:shd w:val="clear" w:color="auto" w:fill="FEFEFE"/>
              </w:rPr>
              <w:t xml:space="preserve"> (ако е приложимо)</w:t>
            </w:r>
            <w:r w:rsidR="008246F7">
              <w:rPr>
                <w:sz w:val="24"/>
                <w:szCs w:val="24"/>
                <w:shd w:val="clear" w:color="auto" w:fill="FEFEFE"/>
              </w:rPr>
              <w:t>.</w:t>
            </w:r>
            <w:r w:rsidR="008246F7">
              <w:t xml:space="preserve"> </w:t>
            </w:r>
            <w:r w:rsidR="008246F7" w:rsidRPr="00D87BCB">
              <w:rPr>
                <w:sz w:val="24"/>
                <w:szCs w:val="24"/>
                <w:shd w:val="clear" w:color="auto" w:fill="FEFEFE"/>
              </w:rPr>
              <w:t>Представя се във формат „pdf“ или „jpg“;</w:t>
            </w:r>
          </w:p>
          <w:p w14:paraId="61D761FE" w14:textId="04CFABC0" w:rsidR="008246F7" w:rsidRPr="00792B74" w:rsidRDefault="00151CEC" w:rsidP="008246F7">
            <w:pPr>
              <w:spacing w:before="120" w:after="120"/>
              <w:jc w:val="both"/>
              <w:rPr>
                <w:sz w:val="24"/>
                <w:szCs w:val="24"/>
                <w:shd w:val="clear" w:color="auto" w:fill="FEFEFE"/>
              </w:rPr>
            </w:pPr>
            <w:r>
              <w:rPr>
                <w:sz w:val="24"/>
                <w:szCs w:val="24"/>
                <w:shd w:val="clear" w:color="auto" w:fill="FEFEFE"/>
              </w:rPr>
              <w:t>3</w:t>
            </w:r>
            <w:r w:rsidR="008246F7" w:rsidRPr="00792B74">
              <w:rPr>
                <w:sz w:val="24"/>
                <w:szCs w:val="24"/>
                <w:shd w:val="clear" w:color="auto" w:fill="FEFEFE"/>
              </w:rPr>
              <w:t xml:space="preserve">. Разрешително за водовземане и/или разрешително за ползване на воден обект в случаите, предвидени в Закона </w:t>
            </w:r>
            <w:r w:rsidR="008246F7">
              <w:rPr>
                <w:sz w:val="24"/>
                <w:szCs w:val="24"/>
                <w:shd w:val="clear" w:color="auto" w:fill="FEFEFE"/>
              </w:rPr>
              <w:t>за водите (когато е приложимо).</w:t>
            </w:r>
            <w:r w:rsidR="008246F7">
              <w:t xml:space="preserve"> </w:t>
            </w:r>
            <w:r w:rsidR="008246F7" w:rsidRPr="00D87BCB">
              <w:rPr>
                <w:sz w:val="24"/>
                <w:szCs w:val="24"/>
                <w:shd w:val="clear" w:color="auto" w:fill="FEFEFE"/>
              </w:rPr>
              <w:t>Представя се във формат „pdf“ или „jpg“;</w:t>
            </w:r>
          </w:p>
          <w:p w14:paraId="1ED743E3" w14:textId="502C0670" w:rsidR="008246F7" w:rsidRDefault="00151CEC" w:rsidP="008246F7">
            <w:pPr>
              <w:spacing w:before="120" w:after="120"/>
              <w:jc w:val="both"/>
              <w:rPr>
                <w:sz w:val="24"/>
                <w:szCs w:val="24"/>
                <w:shd w:val="clear" w:color="auto" w:fill="FEFEFE"/>
              </w:rPr>
            </w:pPr>
            <w:r>
              <w:rPr>
                <w:sz w:val="24"/>
                <w:szCs w:val="24"/>
                <w:shd w:val="clear" w:color="auto" w:fill="FEFEFE"/>
              </w:rPr>
              <w:t>4</w:t>
            </w:r>
            <w:r w:rsidR="008246F7">
              <w:rPr>
                <w:sz w:val="24"/>
                <w:szCs w:val="24"/>
                <w:shd w:val="clear" w:color="auto" w:fill="FEFEFE"/>
              </w:rPr>
              <w:t>. Формуляр за мониторинг.</w:t>
            </w:r>
            <w:r w:rsidR="008246F7">
              <w:t xml:space="preserve"> </w:t>
            </w:r>
            <w:r w:rsidR="008246F7" w:rsidRPr="00D87BCB">
              <w:rPr>
                <w:sz w:val="24"/>
                <w:szCs w:val="24"/>
                <w:shd w:val="clear" w:color="auto" w:fill="FEFEFE"/>
              </w:rPr>
              <w:t>Представя се във формат „pdf“ или „jpg“;</w:t>
            </w:r>
          </w:p>
          <w:p w14:paraId="18CA29D7" w14:textId="48A4B491" w:rsidR="008246F7" w:rsidRPr="008246F7" w:rsidRDefault="00151CEC" w:rsidP="008246F7">
            <w:pPr>
              <w:jc w:val="both"/>
              <w:rPr>
                <w:sz w:val="24"/>
                <w:szCs w:val="24"/>
              </w:rPr>
            </w:pPr>
            <w:r>
              <w:rPr>
                <w:sz w:val="24"/>
                <w:szCs w:val="24"/>
              </w:rPr>
              <w:t>5</w:t>
            </w:r>
            <w:r w:rsidR="008246F7" w:rsidRPr="008246F7">
              <w:rPr>
                <w:sz w:val="24"/>
                <w:szCs w:val="24"/>
              </w:rPr>
              <w:t>. 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3 месеца преди датата на представянето му - оригинал или копие, заверено от кандидата. Представя се във формат „pdf“ или „jpg“;</w:t>
            </w:r>
          </w:p>
          <w:p w14:paraId="1EB3E3EA" w14:textId="4327468D" w:rsidR="008246F7" w:rsidRPr="008246F7" w:rsidRDefault="00151CEC" w:rsidP="008246F7">
            <w:pPr>
              <w:jc w:val="both"/>
              <w:rPr>
                <w:sz w:val="24"/>
                <w:szCs w:val="24"/>
              </w:rPr>
            </w:pPr>
            <w:r>
              <w:rPr>
                <w:sz w:val="24"/>
                <w:szCs w:val="24"/>
              </w:rPr>
              <w:t>6</w:t>
            </w:r>
            <w:r w:rsidR="00B649F4">
              <w:rPr>
                <w:sz w:val="24"/>
                <w:szCs w:val="24"/>
              </w:rPr>
              <w:t>. Удостоверение за наличие или липса на задължения,</w:t>
            </w:r>
            <w:r w:rsidR="008246F7" w:rsidRPr="008246F7">
              <w:rPr>
                <w:sz w:val="24"/>
                <w:szCs w:val="24"/>
              </w:rPr>
              <w:t xml:space="preserve"> издадено от Националната агенция за приходите, че ползвателят на помощта няма просрочени задължения, издадено не по-рано от 1 месец, предхождащ датата на подаване на заявлението за подпомагане </w:t>
            </w:r>
            <w:r w:rsidR="00B649F4">
              <w:rPr>
                <w:sz w:val="24"/>
                <w:szCs w:val="24"/>
              </w:rPr>
              <w:t xml:space="preserve"> и Удостоверение за липса на задължения към общината</w:t>
            </w:r>
            <w:r w:rsidR="008246F7" w:rsidRPr="008246F7">
              <w:rPr>
                <w:sz w:val="24"/>
                <w:szCs w:val="24"/>
              </w:rPr>
              <w:t>- оригинал или копие, заверено от кандидата. Представя се във формат „pdf“ или „jpg“;</w:t>
            </w:r>
          </w:p>
          <w:p w14:paraId="763B546F" w14:textId="02427CF7" w:rsidR="008246F7" w:rsidRPr="008246F7" w:rsidRDefault="00151CEC" w:rsidP="008246F7">
            <w:pPr>
              <w:jc w:val="both"/>
              <w:rPr>
                <w:sz w:val="24"/>
                <w:szCs w:val="24"/>
              </w:rPr>
            </w:pPr>
            <w:r>
              <w:rPr>
                <w:sz w:val="24"/>
                <w:szCs w:val="24"/>
              </w:rPr>
              <w:t>7</w:t>
            </w:r>
            <w:r w:rsidR="008246F7" w:rsidRPr="008246F7">
              <w:rPr>
                <w:sz w:val="24"/>
                <w:szCs w:val="24"/>
              </w:rPr>
              <w:t>. Нотариално заверено изрично пълномощно – в случай че документите не се подават лично от кандидата. Представя се във формат „pdf“ или „jpg“;</w:t>
            </w:r>
          </w:p>
          <w:p w14:paraId="5D230AA7" w14:textId="3DEDCFD7" w:rsidR="008246F7" w:rsidRPr="008246F7" w:rsidRDefault="00151CEC" w:rsidP="008246F7">
            <w:pPr>
              <w:jc w:val="both"/>
              <w:rPr>
                <w:sz w:val="24"/>
                <w:szCs w:val="24"/>
              </w:rPr>
            </w:pPr>
            <w:r>
              <w:rPr>
                <w:sz w:val="24"/>
                <w:szCs w:val="24"/>
              </w:rPr>
              <w:lastRenderedPageBreak/>
              <w:t>8</w:t>
            </w:r>
            <w:r w:rsidR="008246F7" w:rsidRPr="008246F7">
              <w:rPr>
                <w:sz w:val="24"/>
                <w:szCs w:val="24"/>
              </w:rPr>
              <w:t>. Бизнес план за 5-годишен период, а в случаите на инвестиции за извършване на строително-монтажни работи - за 10-годишен период - по образец, утвърден от изпълнителния директор на Държавен фонд „Земеделие" с подпис/и, печат на всяка страница и сканиран във формат „pdf“ или „jpg“ и таблиците от бизнес плана в „xls” по образец;</w:t>
            </w:r>
          </w:p>
          <w:p w14:paraId="245C8AE7" w14:textId="4ED45BBF" w:rsidR="008246F7" w:rsidRPr="008246F7" w:rsidRDefault="00151CEC" w:rsidP="008246F7">
            <w:pPr>
              <w:jc w:val="both"/>
              <w:rPr>
                <w:sz w:val="24"/>
                <w:szCs w:val="24"/>
              </w:rPr>
            </w:pPr>
            <w:r>
              <w:rPr>
                <w:sz w:val="24"/>
                <w:szCs w:val="24"/>
              </w:rPr>
              <w:t>9</w:t>
            </w:r>
            <w:r w:rsidR="008246F7" w:rsidRPr="008246F7">
              <w:rPr>
                <w:sz w:val="24"/>
                <w:szCs w:val="24"/>
              </w:rPr>
              <w:t>. Инвентарна книга към датата на подаване на проектно предложение към стратегията за ВОМР с разбивка по вид на актива, дата и цена на придобиване - в случай на разходи, които представляват дълготрайни материални активи съгласно Закона за счетоводството</w:t>
            </w:r>
            <w:r w:rsidR="008246F7">
              <w:rPr>
                <w:sz w:val="24"/>
                <w:szCs w:val="24"/>
              </w:rPr>
              <w:t>.</w:t>
            </w:r>
            <w:r w:rsidR="008246F7" w:rsidRPr="008246F7">
              <w:rPr>
                <w:sz w:val="24"/>
                <w:szCs w:val="24"/>
              </w:rPr>
              <w:t xml:space="preserve">  Представя се във формат „pdf“ или „jpg“;</w:t>
            </w:r>
          </w:p>
          <w:p w14:paraId="0D49786B" w14:textId="34DE2A06" w:rsidR="008246F7" w:rsidRPr="008246F7" w:rsidRDefault="00151CEC" w:rsidP="008246F7">
            <w:pPr>
              <w:jc w:val="both"/>
              <w:rPr>
                <w:sz w:val="24"/>
                <w:szCs w:val="24"/>
              </w:rPr>
            </w:pPr>
            <w:r>
              <w:rPr>
                <w:sz w:val="24"/>
                <w:szCs w:val="24"/>
              </w:rPr>
              <w:t>10</w:t>
            </w:r>
            <w:r w:rsidR="008246F7" w:rsidRPr="008246F7">
              <w:rPr>
                <w:sz w:val="24"/>
                <w:szCs w:val="24"/>
              </w:rPr>
              <w:t>. 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 разрешително от компетентния орган по околна среда (Регионална инспекция по околната среда и водите/Министерство на околната среда и водите/Басейнова дирекция), издадени по реда на Закона за опазване на околната среда, Закона за биологичното разнообразие и/или Закона за водите (когато е приложимо). Представя се във формат „pdf“ или „jpg“;</w:t>
            </w:r>
          </w:p>
          <w:p w14:paraId="569D52B3" w14:textId="55E67808" w:rsidR="008246F7" w:rsidRPr="008246F7" w:rsidRDefault="00151CEC" w:rsidP="008246F7">
            <w:pPr>
              <w:jc w:val="both"/>
              <w:rPr>
                <w:sz w:val="24"/>
                <w:szCs w:val="24"/>
              </w:rPr>
            </w:pPr>
            <w:r>
              <w:rPr>
                <w:sz w:val="24"/>
                <w:szCs w:val="24"/>
              </w:rPr>
              <w:t>11</w:t>
            </w:r>
            <w:r w:rsidR="008246F7" w:rsidRPr="008246F7">
              <w:rPr>
                <w:sz w:val="24"/>
                <w:szCs w:val="24"/>
              </w:rPr>
              <w:t>. Документ за собственост на земя и/или друг вид недвижим имот, обект на инвестицията, или документ за учредено право на строеж върху имота за срок не по-малък от 6 години, считано от датата на подаване на проектното предложение към стратегията за ВОМР (когато е учредено срочно право на строеж) или документ за ползване върху имота, валиден за срок не по-малък от 6 години, считано от датата на подаване на проектното предложение към стратегията за ВОМР, вписан в районната служба по вписванията, а в случай на договор за аренда на земя - и регистриран в съответната общинска служба по земеделие на Министерството на земеделието, храните и горите, в случаите на обновяване на сгради и/или помещения, за които не се изисква издаване на разрешение за строеж, съгласно Закона за устройство на територията. Представя се във формат „pdf“ или „jpg“;</w:t>
            </w:r>
          </w:p>
          <w:p w14:paraId="6C7A6ED9" w14:textId="27F0CA08" w:rsidR="008246F7" w:rsidRPr="008246F7" w:rsidRDefault="00151CEC" w:rsidP="008246F7">
            <w:pPr>
              <w:jc w:val="both"/>
              <w:rPr>
                <w:sz w:val="24"/>
                <w:szCs w:val="24"/>
              </w:rPr>
            </w:pPr>
            <w:r>
              <w:rPr>
                <w:sz w:val="24"/>
                <w:szCs w:val="24"/>
              </w:rPr>
              <w:t>12</w:t>
            </w:r>
            <w:r w:rsidR="008246F7" w:rsidRPr="008246F7">
              <w:rPr>
                <w:sz w:val="24"/>
                <w:szCs w:val="24"/>
              </w:rPr>
              <w:t>.  Одобрен инвестиционен проект, изработен във фаза „Технически проект" или „Работен проект (работни чертежи и детайли)", в съответствие с изискванията на Закона за устройство на територията и Наредба № 4 от 2001 г. за обхвата и съдържанието на инвестиционните проекти (ДВ, бр. 51 от 2001 г.) или заснемане на обекта/съоръжението и/или архитектурен план на сградата, съоръжението, обекта, който ще се изгражда, ремонтира или обновява, в случаите на проекти, включващи разходи за строително-монтажни работи и когато за предвидените строително-монтажни работи не се изисква одобрен инвестиционен проект съгласно Закона за устройство на територията. Представя се във формат „pdf“ или „jpg“;</w:t>
            </w:r>
          </w:p>
          <w:p w14:paraId="2FFB6229" w14:textId="599325B5" w:rsidR="008246F7" w:rsidRPr="008246F7" w:rsidRDefault="008246F7" w:rsidP="008246F7">
            <w:pPr>
              <w:jc w:val="both"/>
              <w:rPr>
                <w:sz w:val="24"/>
                <w:szCs w:val="24"/>
              </w:rPr>
            </w:pPr>
            <w:r w:rsidRPr="008246F7">
              <w:rPr>
                <w:sz w:val="24"/>
                <w:szCs w:val="24"/>
              </w:rPr>
              <w:t>1</w:t>
            </w:r>
            <w:r w:rsidR="00151CEC">
              <w:rPr>
                <w:sz w:val="24"/>
                <w:szCs w:val="24"/>
              </w:rPr>
              <w:t>3</w:t>
            </w:r>
            <w:r w:rsidRPr="008246F7">
              <w:rPr>
                <w:sz w:val="24"/>
                <w:szCs w:val="24"/>
              </w:rPr>
              <w:t>. Подробни количествени сметки за предвидените строително-монтажни работи, заверени от правоспособно лице;  Представя се във формат „pdf“ и „xls“ или „xlsx“;</w:t>
            </w:r>
          </w:p>
          <w:p w14:paraId="59F184F4" w14:textId="7C0A5D46" w:rsidR="008246F7" w:rsidRPr="008246F7" w:rsidRDefault="00151CEC" w:rsidP="008246F7">
            <w:pPr>
              <w:jc w:val="both"/>
              <w:rPr>
                <w:sz w:val="24"/>
                <w:szCs w:val="24"/>
              </w:rPr>
            </w:pPr>
            <w:r>
              <w:rPr>
                <w:sz w:val="24"/>
                <w:szCs w:val="24"/>
              </w:rPr>
              <w:t>14</w:t>
            </w:r>
            <w:r w:rsidR="008246F7" w:rsidRPr="008246F7">
              <w:rPr>
                <w:sz w:val="24"/>
                <w:szCs w:val="24"/>
              </w:rPr>
              <w:t xml:space="preserve">. Разрешение за строеж, когато издаването му се изисква съгласно Закона за устройство на територията, или становище на главния архитект, че строежът не се нуждае от издаване </w:t>
            </w:r>
            <w:r w:rsidR="008246F7" w:rsidRPr="008246F7">
              <w:rPr>
                <w:sz w:val="24"/>
                <w:szCs w:val="24"/>
              </w:rPr>
              <w:lastRenderedPageBreak/>
              <w:t>на разрешение за строеж, когато издаването му не се изисква съгласно Закона за устройство на територията; Представя се във формат „pdf“ или „jpg“;</w:t>
            </w:r>
          </w:p>
          <w:p w14:paraId="2186581D" w14:textId="1AE0D7F5" w:rsidR="008246F7" w:rsidRPr="008246F7" w:rsidRDefault="00151CEC" w:rsidP="008246F7">
            <w:pPr>
              <w:jc w:val="both"/>
              <w:rPr>
                <w:sz w:val="24"/>
                <w:szCs w:val="24"/>
              </w:rPr>
            </w:pPr>
            <w:r>
              <w:rPr>
                <w:sz w:val="24"/>
                <w:szCs w:val="24"/>
              </w:rPr>
              <w:t>15</w:t>
            </w:r>
            <w:r w:rsidR="008246F7" w:rsidRPr="008246F7">
              <w:rPr>
                <w:sz w:val="24"/>
                <w:szCs w:val="24"/>
              </w:rPr>
              <w:t>. Лицензи, разрешения и/или друг документ, удостоверяващ регистрацията, в случаите на предвидени разходи за дейности и инвестиции, за които се изисква лицензиране, разрешение и/или регистрация за извършване на дейността/инвестицията съгласно българското законодателство и неупоме</w:t>
            </w:r>
            <w:r w:rsidR="00931533">
              <w:rPr>
                <w:sz w:val="24"/>
                <w:szCs w:val="24"/>
              </w:rPr>
              <w:t>нати изрично в настоящия списък</w:t>
            </w:r>
            <w:r w:rsidR="008246F7" w:rsidRPr="008246F7">
              <w:rPr>
                <w:sz w:val="24"/>
                <w:szCs w:val="24"/>
              </w:rPr>
              <w:t>. Представя се във формат „pdf“ или „jpg“;</w:t>
            </w:r>
          </w:p>
          <w:p w14:paraId="39EF1159" w14:textId="5574D764" w:rsidR="008246F7" w:rsidRPr="008246F7" w:rsidRDefault="00151CEC" w:rsidP="008246F7">
            <w:pPr>
              <w:jc w:val="both"/>
              <w:rPr>
                <w:sz w:val="24"/>
                <w:szCs w:val="24"/>
              </w:rPr>
            </w:pPr>
            <w:r>
              <w:rPr>
                <w:sz w:val="24"/>
                <w:szCs w:val="24"/>
              </w:rPr>
              <w:t>16</w:t>
            </w:r>
            <w:r w:rsidR="008246F7" w:rsidRPr="008246F7">
              <w:rPr>
                <w:sz w:val="24"/>
                <w:szCs w:val="24"/>
              </w:rPr>
              <w:t>. Договор за финансов лизинг с приложен към него погасителен план за изплащане на лизинговите вноски, в случай че проектът включва разходи за закупуване на активи чрез финансов лизинг. Представя се във формат „pdf“ или „jpg“;</w:t>
            </w:r>
          </w:p>
          <w:p w14:paraId="237961BE" w14:textId="5C0C9D8A" w:rsidR="008246F7" w:rsidRPr="008246F7" w:rsidRDefault="00151CEC" w:rsidP="008246F7">
            <w:pPr>
              <w:jc w:val="both"/>
              <w:rPr>
                <w:sz w:val="24"/>
                <w:szCs w:val="24"/>
              </w:rPr>
            </w:pPr>
            <w:r>
              <w:rPr>
                <w:sz w:val="24"/>
                <w:szCs w:val="24"/>
              </w:rPr>
              <w:t>17</w:t>
            </w:r>
            <w:r w:rsidR="008246F7" w:rsidRPr="008246F7">
              <w:rPr>
                <w:sz w:val="24"/>
                <w:szCs w:val="24"/>
              </w:rPr>
              <w:t>. Една независима оферта в оригинал,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 важи за всеки допустим разход, който към датата на подаване на заявлението за подпомагане е включен в списъка с активите, дейностите и услугите, за които са определени референтни разходи и не се отнася при кандидатстване за разходи за закупуване на земя, сгради и друга недвижима собственост, както и за разходи за извършени услуги от държавни или общински органи и институции. Представя се във формат „pdf“ или „jpg“;</w:t>
            </w:r>
          </w:p>
          <w:p w14:paraId="02A78AC5" w14:textId="0FCE0D11" w:rsidR="008246F7" w:rsidRPr="008246F7" w:rsidRDefault="00151CEC" w:rsidP="008246F7">
            <w:pPr>
              <w:jc w:val="both"/>
              <w:rPr>
                <w:sz w:val="24"/>
                <w:szCs w:val="24"/>
              </w:rPr>
            </w:pPr>
            <w:r>
              <w:rPr>
                <w:sz w:val="24"/>
                <w:szCs w:val="24"/>
              </w:rPr>
              <w:t>18</w:t>
            </w:r>
            <w:r w:rsidR="008246F7" w:rsidRPr="008246F7">
              <w:rPr>
                <w:sz w:val="24"/>
                <w:szCs w:val="24"/>
              </w:rPr>
              <w:t xml:space="preserve">. Най-малко три съпоставими независими оферти в оригинал,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Кандидатът представя запитване за оферта по </w:t>
            </w:r>
            <w:r w:rsidR="00216FFC">
              <w:rPr>
                <w:sz w:val="24"/>
                <w:szCs w:val="24"/>
              </w:rPr>
              <w:t>образец съгласно приложение № 3</w:t>
            </w:r>
            <w:r w:rsidR="008246F7" w:rsidRPr="008246F7">
              <w:rPr>
                <w:sz w:val="24"/>
                <w:szCs w:val="24"/>
              </w:rPr>
              <w:t xml:space="preserve"> (важи в случаите, когато заявения за финансиране разход не е включен в Списъка с активите, дейностите и услугите, за които са определени референтни разходи). В случаите на инвестиции за строително-монтажни работи към договорите се прилагат и количествено-стойностни сметки на хартиен и електронен носител. Представя се във формат „pdf“ или „jpg“;</w:t>
            </w:r>
          </w:p>
          <w:p w14:paraId="70836BC0" w14:textId="62F9C330" w:rsidR="008246F7" w:rsidRPr="008246F7" w:rsidRDefault="00151CEC" w:rsidP="008246F7">
            <w:pPr>
              <w:jc w:val="both"/>
              <w:rPr>
                <w:sz w:val="24"/>
                <w:szCs w:val="24"/>
              </w:rPr>
            </w:pPr>
            <w:r>
              <w:rPr>
                <w:sz w:val="24"/>
                <w:szCs w:val="24"/>
              </w:rPr>
              <w:t>19</w:t>
            </w:r>
            <w:r w:rsidR="008246F7" w:rsidRPr="008246F7">
              <w:rPr>
                <w:sz w:val="24"/>
                <w:szCs w:val="24"/>
              </w:rPr>
              <w:t>. Решение на кандидата за избор на доставчик/изпълнител (когато е приложимо), а когато избраната оферта не е с най-ниска цена – се прилага и писмена Обосновка за мотивите, обусловили избора (когато е приложимо). Представя се във формат „pdf“ или „jpg“;</w:t>
            </w:r>
          </w:p>
          <w:p w14:paraId="7CC989D4" w14:textId="08931019" w:rsidR="008246F7" w:rsidRPr="008246F7" w:rsidRDefault="00151CEC" w:rsidP="008246F7">
            <w:pPr>
              <w:jc w:val="both"/>
              <w:rPr>
                <w:sz w:val="24"/>
                <w:szCs w:val="24"/>
              </w:rPr>
            </w:pPr>
            <w:r>
              <w:rPr>
                <w:sz w:val="24"/>
                <w:szCs w:val="24"/>
              </w:rPr>
              <w:t>20</w:t>
            </w:r>
            <w:r w:rsidR="008246F7" w:rsidRPr="008246F7">
              <w:rPr>
                <w:sz w:val="24"/>
                <w:szCs w:val="24"/>
              </w:rPr>
              <w:t>.  В случаите, когато оферентите са чуждестранни лица, следва да представят документ за правосубектност съгласно националното им законодателство. Представя се във формат „pdf“ или „jpg”;</w:t>
            </w:r>
          </w:p>
          <w:p w14:paraId="18DBF068" w14:textId="4EB30D7D" w:rsidR="008246F7" w:rsidRPr="008246F7" w:rsidRDefault="00151CEC" w:rsidP="008246F7">
            <w:pPr>
              <w:jc w:val="both"/>
              <w:rPr>
                <w:sz w:val="24"/>
                <w:szCs w:val="24"/>
              </w:rPr>
            </w:pPr>
            <w:r>
              <w:rPr>
                <w:sz w:val="24"/>
                <w:szCs w:val="24"/>
              </w:rPr>
              <w:t>21</w:t>
            </w:r>
            <w:r w:rsidR="008246F7" w:rsidRPr="008246F7">
              <w:rPr>
                <w:sz w:val="24"/>
                <w:szCs w:val="24"/>
              </w:rPr>
              <w:t>. Справка за дълготрайните активи - приложение към счетоводния баланс за предходната финансова година и/или за последния отчетен период (за юридически лица и еднолични търговци). Представя се във формат „pdf“ или „jpg”;</w:t>
            </w:r>
          </w:p>
          <w:p w14:paraId="48A28745" w14:textId="56850045" w:rsidR="008246F7" w:rsidRPr="008246F7" w:rsidRDefault="00586941" w:rsidP="008246F7">
            <w:pPr>
              <w:jc w:val="both"/>
              <w:rPr>
                <w:sz w:val="24"/>
                <w:szCs w:val="24"/>
              </w:rPr>
            </w:pPr>
            <w:r>
              <w:rPr>
                <w:sz w:val="24"/>
                <w:szCs w:val="24"/>
              </w:rPr>
              <w:t>22</w:t>
            </w:r>
            <w:r w:rsidR="008246F7" w:rsidRPr="008246F7">
              <w:rPr>
                <w:sz w:val="24"/>
                <w:szCs w:val="24"/>
              </w:rPr>
              <w:t xml:space="preserve">. Фактури, придружени с платежни нареждания, за извършени разходи преди подаване на проектното предложение към стратегията за ВОМР за разходи за предпроектни проучвания, такси, възнаграждение на архитекти, инженери и консултантски услуги, </w:t>
            </w:r>
            <w:r w:rsidR="008246F7" w:rsidRPr="008246F7">
              <w:rPr>
                <w:sz w:val="24"/>
                <w:szCs w:val="24"/>
              </w:rPr>
              <w:lastRenderedPageBreak/>
              <w:t>извършени след 1 януари 2014 г., ведно с банкови извлечения. Представя се във формат „pdf“ или „jpg“;</w:t>
            </w:r>
          </w:p>
          <w:p w14:paraId="2CD97C9A" w14:textId="063402E9" w:rsidR="00151CEC" w:rsidRDefault="00586941" w:rsidP="008246F7">
            <w:pPr>
              <w:jc w:val="both"/>
              <w:rPr>
                <w:sz w:val="24"/>
                <w:szCs w:val="24"/>
              </w:rPr>
            </w:pPr>
            <w:r>
              <w:rPr>
                <w:sz w:val="24"/>
                <w:szCs w:val="24"/>
              </w:rPr>
              <w:t>23</w:t>
            </w:r>
            <w:r w:rsidR="00151CEC">
              <w:rPr>
                <w:sz w:val="24"/>
                <w:szCs w:val="24"/>
              </w:rPr>
              <w:t>.</w:t>
            </w:r>
            <w:r w:rsidR="008246F7" w:rsidRPr="008246F7">
              <w:rPr>
                <w:sz w:val="24"/>
                <w:szCs w:val="24"/>
              </w:rPr>
              <w:t xml:space="preserve"> Удостоверение за данъчна оценка, издадено в рамките на месеца, предхождащ датата на подаване на заявлението за подпомагане - важи в случай, че проектът включва разходи за закупуване на земя, сгради и/или друга недвижима собственост. Представя се във формат „pdf“ или „jpg“;</w:t>
            </w:r>
          </w:p>
          <w:p w14:paraId="38657F97" w14:textId="4E6C5715" w:rsidR="00151CEC" w:rsidRDefault="00586941" w:rsidP="008246F7">
            <w:pPr>
              <w:jc w:val="both"/>
              <w:rPr>
                <w:sz w:val="24"/>
                <w:szCs w:val="24"/>
                <w:lang w:val="en-US"/>
              </w:rPr>
            </w:pPr>
            <w:r>
              <w:rPr>
                <w:sz w:val="24"/>
                <w:szCs w:val="24"/>
              </w:rPr>
              <w:t>24</w:t>
            </w:r>
            <w:r w:rsidR="00151CEC">
              <w:rPr>
                <w:sz w:val="24"/>
                <w:szCs w:val="24"/>
              </w:rPr>
              <w:t xml:space="preserve">. </w:t>
            </w:r>
            <w:r w:rsidR="00151CEC" w:rsidRPr="00FE0FED">
              <w:rPr>
                <w:sz w:val="24"/>
                <w:szCs w:val="24"/>
              </w:rPr>
              <w:t>Удостоверение за признаване на групата/организацията производители.</w:t>
            </w:r>
            <w:r w:rsidR="00151CEC">
              <w:rPr>
                <w:sz w:val="24"/>
                <w:szCs w:val="24"/>
              </w:rPr>
              <w:t xml:space="preserve"> Представя/т се във формат „pdf“, </w:t>
            </w:r>
            <w:r w:rsidR="00151CEC">
              <w:rPr>
                <w:sz w:val="24"/>
                <w:szCs w:val="24"/>
                <w:lang w:val="en-US"/>
              </w:rPr>
              <w:t>jpg.</w:t>
            </w:r>
          </w:p>
          <w:p w14:paraId="4CC02FA0" w14:textId="77777777" w:rsidR="00986B90" w:rsidRDefault="00586941" w:rsidP="008246F7">
            <w:pPr>
              <w:jc w:val="both"/>
              <w:rPr>
                <w:sz w:val="24"/>
                <w:szCs w:val="24"/>
                <w:shd w:val="clear" w:color="auto" w:fill="FEFEFE"/>
              </w:rPr>
            </w:pPr>
            <w:r>
              <w:rPr>
                <w:sz w:val="24"/>
                <w:szCs w:val="24"/>
              </w:rPr>
              <w:t>25</w:t>
            </w:r>
            <w:r w:rsidR="00284642">
              <w:rPr>
                <w:sz w:val="24"/>
                <w:szCs w:val="24"/>
              </w:rPr>
              <w:t>.</w:t>
            </w:r>
            <w:r w:rsidR="00986B90">
              <w:rPr>
                <w:sz w:val="24"/>
                <w:szCs w:val="24"/>
                <w:shd w:val="clear" w:color="auto" w:fill="FEFEFE"/>
              </w:rPr>
              <w:t xml:space="preserve"> Запитване за оферта. </w:t>
            </w:r>
            <w:r w:rsidR="00986B90" w:rsidRPr="00D87BCB">
              <w:rPr>
                <w:sz w:val="24"/>
                <w:szCs w:val="24"/>
                <w:shd w:val="clear" w:color="auto" w:fill="FEFEFE"/>
              </w:rPr>
              <w:t>Представ</w:t>
            </w:r>
            <w:r w:rsidR="00986B90">
              <w:rPr>
                <w:sz w:val="24"/>
                <w:szCs w:val="24"/>
                <w:shd w:val="clear" w:color="auto" w:fill="FEFEFE"/>
              </w:rPr>
              <w:t>я се във формат „pdf“ или „jpg“;</w:t>
            </w:r>
          </w:p>
          <w:p w14:paraId="358CF92C" w14:textId="5269F06F" w:rsidR="00E06592" w:rsidRPr="00772A74" w:rsidRDefault="00E06592" w:rsidP="00E06592">
            <w:pPr>
              <w:jc w:val="both"/>
              <w:rPr>
                <w:sz w:val="24"/>
                <w:szCs w:val="24"/>
              </w:rPr>
            </w:pPr>
            <w:r w:rsidRPr="00772A74">
              <w:rPr>
                <w:sz w:val="24"/>
                <w:szCs w:val="24"/>
              </w:rPr>
              <w:t>26. Декларация изкуствено създадени условия (Приложение</w:t>
            </w:r>
            <w:r w:rsidR="003139BE">
              <w:rPr>
                <w:sz w:val="24"/>
                <w:szCs w:val="24"/>
              </w:rPr>
              <w:t xml:space="preserve"> №</w:t>
            </w:r>
            <w:r w:rsidRPr="00772A74">
              <w:rPr>
                <w:sz w:val="24"/>
                <w:szCs w:val="24"/>
              </w:rPr>
              <w:t xml:space="preserve"> 1</w:t>
            </w:r>
            <w:r w:rsidR="003139BE">
              <w:rPr>
                <w:sz w:val="24"/>
                <w:szCs w:val="24"/>
              </w:rPr>
              <w:t>1</w:t>
            </w:r>
            <w:r w:rsidRPr="00772A74">
              <w:rPr>
                <w:sz w:val="24"/>
                <w:szCs w:val="24"/>
              </w:rPr>
              <w:t>). Представя се във формат „pdf“ или „jpg”;</w:t>
            </w:r>
          </w:p>
          <w:p w14:paraId="7C3FDC72" w14:textId="6F07BD2F" w:rsidR="00E06592" w:rsidRPr="00772A74" w:rsidRDefault="00E06592" w:rsidP="00E06592">
            <w:pPr>
              <w:jc w:val="both"/>
              <w:rPr>
                <w:sz w:val="24"/>
                <w:szCs w:val="24"/>
              </w:rPr>
            </w:pPr>
            <w:r w:rsidRPr="00772A74">
              <w:rPr>
                <w:sz w:val="24"/>
                <w:szCs w:val="24"/>
              </w:rPr>
              <w:t xml:space="preserve">27. Декларация за липса или наличие на двойно финансиране (Приложение </w:t>
            </w:r>
            <w:r w:rsidR="003139BE">
              <w:rPr>
                <w:sz w:val="24"/>
                <w:szCs w:val="24"/>
              </w:rPr>
              <w:t>№</w:t>
            </w:r>
            <w:r w:rsidRPr="00772A74">
              <w:rPr>
                <w:sz w:val="24"/>
                <w:szCs w:val="24"/>
              </w:rPr>
              <w:t>10). Представя се във формат „pdf“ или „jpg”;</w:t>
            </w:r>
          </w:p>
          <w:p w14:paraId="38F8F734" w14:textId="4EF94B2A" w:rsidR="00E06592" w:rsidRPr="00772A74" w:rsidRDefault="00E06592" w:rsidP="00E06592">
            <w:pPr>
              <w:jc w:val="both"/>
              <w:rPr>
                <w:sz w:val="24"/>
                <w:szCs w:val="24"/>
              </w:rPr>
            </w:pPr>
            <w:r w:rsidRPr="00772A74">
              <w:rPr>
                <w:sz w:val="24"/>
                <w:szCs w:val="24"/>
              </w:rPr>
              <w:t>28. Декларация за минимални и държавни помощи (Приложение</w:t>
            </w:r>
            <w:r w:rsidR="003139BE">
              <w:rPr>
                <w:sz w:val="24"/>
                <w:szCs w:val="24"/>
              </w:rPr>
              <w:t xml:space="preserve"> №</w:t>
            </w:r>
            <w:r w:rsidRPr="00772A74">
              <w:rPr>
                <w:sz w:val="24"/>
                <w:szCs w:val="24"/>
              </w:rPr>
              <w:t xml:space="preserve"> 12). Представя се във формат „pdf“ или „jpg”;</w:t>
            </w:r>
          </w:p>
          <w:p w14:paraId="42304E0C" w14:textId="5F43C96F" w:rsidR="00E06592" w:rsidRPr="00772A74" w:rsidRDefault="00E06592" w:rsidP="00E06592">
            <w:pPr>
              <w:jc w:val="both"/>
              <w:rPr>
                <w:sz w:val="24"/>
                <w:szCs w:val="24"/>
              </w:rPr>
            </w:pPr>
            <w:r w:rsidRPr="00772A74">
              <w:rPr>
                <w:sz w:val="24"/>
                <w:szCs w:val="24"/>
              </w:rPr>
              <w:t xml:space="preserve">29. Декларация за съгласие и информираност за обработване на лични данни (Приложение </w:t>
            </w:r>
            <w:r w:rsidR="003139BE">
              <w:rPr>
                <w:sz w:val="24"/>
                <w:szCs w:val="24"/>
              </w:rPr>
              <w:t xml:space="preserve">№ </w:t>
            </w:r>
            <w:r w:rsidR="00630607">
              <w:rPr>
                <w:sz w:val="24"/>
                <w:szCs w:val="24"/>
              </w:rPr>
              <w:t>15</w:t>
            </w:r>
            <w:r w:rsidRPr="00772A74">
              <w:rPr>
                <w:sz w:val="24"/>
                <w:szCs w:val="24"/>
              </w:rPr>
              <w:t>);</w:t>
            </w:r>
          </w:p>
          <w:p w14:paraId="522EF920" w14:textId="2602E959" w:rsidR="00E06592" w:rsidRPr="00772A74" w:rsidRDefault="00E06592" w:rsidP="00E06592">
            <w:pPr>
              <w:jc w:val="both"/>
              <w:rPr>
                <w:sz w:val="24"/>
                <w:szCs w:val="24"/>
              </w:rPr>
            </w:pPr>
            <w:r w:rsidRPr="00772A74">
              <w:rPr>
                <w:sz w:val="24"/>
                <w:szCs w:val="24"/>
              </w:rPr>
              <w:t>30. Деклар</w:t>
            </w:r>
            <w:r w:rsidR="003139BE">
              <w:rPr>
                <w:sz w:val="24"/>
                <w:szCs w:val="24"/>
              </w:rPr>
              <w:t>ация за нередности (Приложение № 5</w:t>
            </w:r>
            <w:r w:rsidRPr="00772A74">
              <w:rPr>
                <w:sz w:val="24"/>
                <w:szCs w:val="24"/>
              </w:rPr>
              <w:t>) с подпис/и, печат и сканирана във формат „pdf“ или „jpg“;</w:t>
            </w:r>
          </w:p>
          <w:p w14:paraId="6F182780" w14:textId="275EC033" w:rsidR="00E06592" w:rsidRPr="00772A74" w:rsidRDefault="00E06592" w:rsidP="00E06592">
            <w:pPr>
              <w:jc w:val="both"/>
              <w:rPr>
                <w:sz w:val="24"/>
                <w:szCs w:val="24"/>
              </w:rPr>
            </w:pPr>
            <w:r w:rsidRPr="00772A74">
              <w:rPr>
                <w:sz w:val="24"/>
                <w:szCs w:val="24"/>
              </w:rPr>
              <w:t>31. Декларация за липса на основания за отстраняване (Приложение</w:t>
            </w:r>
            <w:r w:rsidR="003139BE">
              <w:rPr>
                <w:sz w:val="24"/>
                <w:szCs w:val="24"/>
              </w:rPr>
              <w:t xml:space="preserve"> №</w:t>
            </w:r>
            <w:r w:rsidRPr="00772A74">
              <w:rPr>
                <w:sz w:val="24"/>
                <w:szCs w:val="24"/>
              </w:rPr>
              <w:t xml:space="preserve"> 7). Представя се във формат „pdf“ или „jpg“;</w:t>
            </w:r>
          </w:p>
          <w:p w14:paraId="0CB04267" w14:textId="25212B37" w:rsidR="00E06592" w:rsidRPr="00772A74" w:rsidRDefault="00E06592" w:rsidP="00E06592">
            <w:pPr>
              <w:jc w:val="both"/>
              <w:rPr>
                <w:sz w:val="24"/>
                <w:szCs w:val="24"/>
              </w:rPr>
            </w:pPr>
            <w:r w:rsidRPr="00772A74">
              <w:rPr>
                <w:sz w:val="24"/>
                <w:szCs w:val="24"/>
              </w:rPr>
              <w:t xml:space="preserve">32. Декларация за съгласие за предоставяне на данни от НСИ на </w:t>
            </w:r>
            <w:r w:rsidR="003139BE">
              <w:rPr>
                <w:sz w:val="24"/>
                <w:szCs w:val="24"/>
              </w:rPr>
              <w:t>УО по служебен път (Приложение № 8</w:t>
            </w:r>
            <w:r w:rsidRPr="00772A74">
              <w:rPr>
                <w:sz w:val="24"/>
                <w:szCs w:val="24"/>
              </w:rPr>
              <w:t>). Представя се във формат „pdf“ или „jpg“;</w:t>
            </w:r>
          </w:p>
          <w:p w14:paraId="60F02848" w14:textId="4AA4F7FF" w:rsidR="00E06592" w:rsidRPr="00772A74" w:rsidRDefault="00E06592" w:rsidP="00E06592">
            <w:pPr>
              <w:jc w:val="both"/>
              <w:rPr>
                <w:sz w:val="24"/>
                <w:szCs w:val="24"/>
              </w:rPr>
            </w:pPr>
            <w:r w:rsidRPr="00772A74">
              <w:rPr>
                <w:sz w:val="24"/>
                <w:szCs w:val="24"/>
              </w:rPr>
              <w:t xml:space="preserve">33. Декларация за малки и средни предприятия (Приложение </w:t>
            </w:r>
            <w:r w:rsidR="003139BE">
              <w:rPr>
                <w:sz w:val="24"/>
                <w:szCs w:val="24"/>
              </w:rPr>
              <w:t xml:space="preserve">№ </w:t>
            </w:r>
            <w:r w:rsidRPr="00772A74">
              <w:rPr>
                <w:sz w:val="24"/>
                <w:szCs w:val="24"/>
              </w:rPr>
              <w:t>6);</w:t>
            </w:r>
          </w:p>
          <w:p w14:paraId="5ABF4FC3" w14:textId="41B3048F" w:rsidR="00FE0FED" w:rsidRPr="0031563F" w:rsidRDefault="00E06592" w:rsidP="00E06592">
            <w:pPr>
              <w:jc w:val="both"/>
              <w:rPr>
                <w:sz w:val="24"/>
                <w:szCs w:val="24"/>
              </w:rPr>
            </w:pPr>
            <w:r w:rsidRPr="00772A74">
              <w:rPr>
                <w:sz w:val="24"/>
                <w:szCs w:val="24"/>
              </w:rPr>
              <w:t>34. Декларация за свързаност съгласно Заповед №РД 09-64703.07.2019 (Приложение</w:t>
            </w:r>
            <w:r w:rsidR="003139BE">
              <w:rPr>
                <w:sz w:val="24"/>
                <w:szCs w:val="24"/>
              </w:rPr>
              <w:t xml:space="preserve"> №</w:t>
            </w:r>
            <w:r w:rsidRPr="00772A74">
              <w:rPr>
                <w:sz w:val="24"/>
                <w:szCs w:val="24"/>
              </w:rPr>
              <w:t xml:space="preserve"> 9) Представя се във формат jpg, .jpeg, .pdf, .zip, .rar, .7z.</w:t>
            </w:r>
          </w:p>
        </w:tc>
      </w:tr>
    </w:tbl>
    <w:p w14:paraId="2B8D2CD9" w14:textId="77777777" w:rsidR="009124D5" w:rsidRPr="009124D5" w:rsidRDefault="009124D5" w:rsidP="009124D5">
      <w:bookmarkStart w:id="80" w:name="_Toc506212309"/>
      <w:bookmarkStart w:id="81" w:name="_Toc445385617"/>
    </w:p>
    <w:p w14:paraId="3AFD4B95" w14:textId="07C4A6EA" w:rsidR="00D93C0A" w:rsidRPr="005F2C11" w:rsidRDefault="00D93C0A" w:rsidP="00D93C0A">
      <w:pPr>
        <w:pStyle w:val="Heading2"/>
      </w:pPr>
      <w:bookmarkStart w:id="82" w:name="_Toc535495206"/>
      <w:r>
        <w:t xml:space="preserve">24.2. </w:t>
      </w:r>
      <w:r w:rsidR="00503C4C">
        <w:t>С</w:t>
      </w:r>
      <w:r w:rsidRPr="00E12F32">
        <w:t>пецифични документи</w:t>
      </w:r>
      <w:bookmarkEnd w:id="80"/>
      <w:bookmarkEnd w:id="82"/>
    </w:p>
    <w:p w14:paraId="5F48964B" w14:textId="76177845" w:rsidR="001F57D4" w:rsidRDefault="001F57D4" w:rsidP="001F57D4">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1</w:t>
      </w:r>
      <w:r w:rsidRPr="001F57D4">
        <w:rPr>
          <w:rFonts w:ascii="Times New Roman" w:hAnsi="Times New Roman" w:cs="Times New Roman"/>
          <w:sz w:val="24"/>
          <w:szCs w:val="24"/>
        </w:rPr>
        <w:t>.</w:t>
      </w:r>
      <w:r>
        <w:rPr>
          <w:rFonts w:ascii="Times New Roman" w:hAnsi="Times New Roman" w:cs="Times New Roman"/>
          <w:sz w:val="24"/>
          <w:szCs w:val="24"/>
        </w:rPr>
        <w:t xml:space="preserve"> </w:t>
      </w:r>
      <w:r w:rsidRPr="001F57D4">
        <w:rPr>
          <w:rFonts w:ascii="Times New Roman" w:hAnsi="Times New Roman" w:cs="Times New Roman"/>
          <w:sz w:val="24"/>
          <w:szCs w:val="24"/>
        </w:rPr>
        <w:t>Справка-декларация за обработваната земя/отглежданите животни от членовете на групата/организацията на производители, с които участват в групата/организацията</w:t>
      </w:r>
      <w:r w:rsidR="00920758">
        <w:rPr>
          <w:rFonts w:ascii="Times New Roman" w:hAnsi="Times New Roman" w:cs="Times New Roman"/>
          <w:sz w:val="24"/>
          <w:szCs w:val="24"/>
        </w:rPr>
        <w:t xml:space="preserve"> (Приложение </w:t>
      </w:r>
      <w:r w:rsidR="002B5EC5">
        <w:rPr>
          <w:rFonts w:ascii="Times New Roman" w:hAnsi="Times New Roman" w:cs="Times New Roman"/>
          <w:sz w:val="24"/>
          <w:szCs w:val="24"/>
        </w:rPr>
        <w:t xml:space="preserve">№ </w:t>
      </w:r>
      <w:r w:rsidR="008C2807">
        <w:rPr>
          <w:rFonts w:ascii="Times New Roman" w:hAnsi="Times New Roman" w:cs="Times New Roman"/>
          <w:sz w:val="24"/>
          <w:szCs w:val="24"/>
        </w:rPr>
        <w:t>17</w:t>
      </w:r>
      <w:r w:rsidR="001C07FE">
        <w:rPr>
          <w:rFonts w:ascii="Times New Roman" w:hAnsi="Times New Roman" w:cs="Times New Roman"/>
          <w:sz w:val="24"/>
          <w:szCs w:val="24"/>
        </w:rPr>
        <w:t>)</w:t>
      </w:r>
      <w:r w:rsidRPr="001F57D4">
        <w:rPr>
          <w:rFonts w:ascii="Times New Roman" w:hAnsi="Times New Roman" w:cs="Times New Roman"/>
          <w:sz w:val="24"/>
          <w:szCs w:val="24"/>
        </w:rPr>
        <w:t xml:space="preserve">. Представя се във формат „pdf“ . </w:t>
      </w:r>
      <w:r>
        <w:rPr>
          <w:rFonts w:ascii="Times New Roman" w:hAnsi="Times New Roman" w:cs="Times New Roman"/>
          <w:sz w:val="24"/>
          <w:szCs w:val="24"/>
        </w:rPr>
        <w:t>(За кандидати, кандидатстващи за увеличаване размера</w:t>
      </w:r>
      <w:r w:rsidRPr="001F57D4">
        <w:rPr>
          <w:rFonts w:ascii="Times New Roman" w:hAnsi="Times New Roman" w:cs="Times New Roman"/>
          <w:sz w:val="24"/>
          <w:szCs w:val="24"/>
        </w:rPr>
        <w:t xml:space="preserve"> на финансовата помощ </w:t>
      </w:r>
      <w:r>
        <w:rPr>
          <w:rFonts w:ascii="Times New Roman" w:hAnsi="Times New Roman" w:cs="Times New Roman"/>
          <w:sz w:val="24"/>
          <w:szCs w:val="24"/>
        </w:rPr>
        <w:t xml:space="preserve">с 10 % от общия размер на </w:t>
      </w:r>
      <w:r w:rsidRPr="001F57D4">
        <w:rPr>
          <w:rFonts w:ascii="Times New Roman" w:hAnsi="Times New Roman" w:cs="Times New Roman"/>
          <w:sz w:val="24"/>
          <w:szCs w:val="24"/>
        </w:rPr>
        <w:t>допустимите з</w:t>
      </w:r>
      <w:r>
        <w:rPr>
          <w:rFonts w:ascii="Times New Roman" w:hAnsi="Times New Roman" w:cs="Times New Roman"/>
          <w:sz w:val="24"/>
          <w:szCs w:val="24"/>
        </w:rPr>
        <w:t>а финансово подпомагане разходи, по т.2 на т. 10. Процент на съфинансиране от Условията за кандидатстване);</w:t>
      </w:r>
    </w:p>
    <w:p w14:paraId="067767B7" w14:textId="0450E054" w:rsidR="001F57D4" w:rsidRPr="001F57D4" w:rsidRDefault="001F57D4" w:rsidP="001F57D4">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2.</w:t>
      </w:r>
      <w:r w:rsidRPr="001F57D4">
        <w:rPr>
          <w:rFonts w:ascii="Times New Roman" w:hAnsi="Times New Roman" w:cs="Times New Roman"/>
          <w:sz w:val="24"/>
          <w:szCs w:val="24"/>
        </w:rPr>
        <w:t>Декларация за изчисление на минималния стандартен производствен обем на стопанството през текущата стопанска година към момента на кандидатстване</w:t>
      </w:r>
      <w:r w:rsidR="00920758">
        <w:rPr>
          <w:rFonts w:ascii="Times New Roman" w:hAnsi="Times New Roman" w:cs="Times New Roman"/>
          <w:sz w:val="24"/>
          <w:szCs w:val="24"/>
        </w:rPr>
        <w:t xml:space="preserve"> </w:t>
      </w:r>
      <w:r w:rsidR="00771C61">
        <w:rPr>
          <w:rFonts w:ascii="Times New Roman" w:hAnsi="Times New Roman" w:cs="Times New Roman"/>
          <w:sz w:val="24"/>
          <w:szCs w:val="24"/>
        </w:rPr>
        <w:t xml:space="preserve">(Приложение № </w:t>
      </w:r>
      <w:r w:rsidR="008C2807">
        <w:rPr>
          <w:rFonts w:ascii="Times New Roman" w:hAnsi="Times New Roman" w:cs="Times New Roman"/>
          <w:sz w:val="24"/>
          <w:szCs w:val="24"/>
        </w:rPr>
        <w:t>16</w:t>
      </w:r>
      <w:r w:rsidR="001C07FE">
        <w:rPr>
          <w:rFonts w:ascii="Times New Roman" w:hAnsi="Times New Roman" w:cs="Times New Roman"/>
          <w:sz w:val="24"/>
          <w:szCs w:val="24"/>
        </w:rPr>
        <w:t>)</w:t>
      </w:r>
      <w:r>
        <w:rPr>
          <w:rFonts w:ascii="Times New Roman" w:hAnsi="Times New Roman" w:cs="Times New Roman"/>
          <w:sz w:val="24"/>
          <w:szCs w:val="24"/>
        </w:rPr>
        <w:t>.</w:t>
      </w:r>
      <w:r w:rsidR="001C07FE">
        <w:rPr>
          <w:rFonts w:ascii="Times New Roman" w:hAnsi="Times New Roman" w:cs="Times New Roman"/>
          <w:sz w:val="24"/>
          <w:szCs w:val="24"/>
        </w:rPr>
        <w:t xml:space="preserve"> Представя се във формат „pdf“. </w:t>
      </w:r>
      <w:r w:rsidRPr="001F57D4">
        <w:rPr>
          <w:rFonts w:ascii="Times New Roman" w:hAnsi="Times New Roman" w:cs="Times New Roman"/>
          <w:sz w:val="24"/>
          <w:szCs w:val="24"/>
        </w:rPr>
        <w:t xml:space="preserve">(За кандидати, кандидатстващи за увеличаване размера на финансовата помощ с 10 % от общия размер на допустимите за </w:t>
      </w:r>
      <w:r w:rsidRPr="001F57D4">
        <w:rPr>
          <w:rFonts w:ascii="Times New Roman" w:hAnsi="Times New Roman" w:cs="Times New Roman"/>
          <w:sz w:val="24"/>
          <w:szCs w:val="24"/>
        </w:rPr>
        <w:lastRenderedPageBreak/>
        <w:t>финансово подпомагане разходи, по т.2 на т. 10. Процент на съфинансиране от Условията за кандидатстване);</w:t>
      </w:r>
    </w:p>
    <w:p w14:paraId="00E78DA8" w14:textId="1FE135C8" w:rsidR="001F57D4" w:rsidRPr="001F57D4" w:rsidRDefault="001F57D4" w:rsidP="001F57D4">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3. </w:t>
      </w:r>
      <w:r w:rsidRPr="001F57D4">
        <w:rPr>
          <w:rFonts w:ascii="Times New Roman" w:hAnsi="Times New Roman" w:cs="Times New Roman"/>
          <w:sz w:val="24"/>
          <w:szCs w:val="24"/>
        </w:rPr>
        <w:t>Регистрационна карта, издадена по реда на наредбата по § 4 ЗПЗП, и анкетни формуляри към нея с приложен Опис на животните, когато в изчисляването на стандартния производствен обем участват животни. Представя /т се във формат „pdf“.</w:t>
      </w:r>
      <w:r w:rsidRPr="001F57D4">
        <w:t xml:space="preserve"> </w:t>
      </w:r>
      <w:r w:rsidRPr="001F57D4">
        <w:rPr>
          <w:rFonts w:ascii="Times New Roman" w:hAnsi="Times New Roman" w:cs="Times New Roman"/>
          <w:sz w:val="24"/>
          <w:szCs w:val="24"/>
        </w:rPr>
        <w:t>(За кандидати, кандидатстващи за увеличаване размера на финансовата помощ с 10 % от общия размер на допустимите за финансово подпомагане разходи, по т.2 на т. 10. Процент на съфинансиране от Условията за кандидатстване);</w:t>
      </w:r>
    </w:p>
    <w:p w14:paraId="2C1BBD11" w14:textId="0A46DC1E" w:rsidR="001F57D4" w:rsidRDefault="001F57D4" w:rsidP="001F57D4">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4.</w:t>
      </w:r>
      <w:r w:rsidR="00210FE9">
        <w:rPr>
          <w:rFonts w:ascii="Times New Roman" w:hAnsi="Times New Roman" w:cs="Times New Roman"/>
          <w:sz w:val="24"/>
          <w:szCs w:val="24"/>
        </w:rPr>
        <w:t xml:space="preserve"> </w:t>
      </w:r>
      <w:r w:rsidRPr="001F57D4">
        <w:rPr>
          <w:rFonts w:ascii="Times New Roman" w:hAnsi="Times New Roman" w:cs="Times New Roman"/>
          <w:sz w:val="24"/>
          <w:szCs w:val="24"/>
        </w:rPr>
        <w:t>Документ за собственост или ползване на земята или заповеди по чл. 37в, ал. 4, 10 и 12 ЗСПЗЗ, която участва при изчисляването на минималния стандартен производствен обем. Представя се във формат „pdf“.</w:t>
      </w:r>
      <w:r w:rsidRPr="001F57D4">
        <w:t xml:space="preserve"> </w:t>
      </w:r>
      <w:r w:rsidRPr="001F57D4">
        <w:rPr>
          <w:rFonts w:ascii="Times New Roman" w:hAnsi="Times New Roman" w:cs="Times New Roman"/>
          <w:sz w:val="24"/>
          <w:szCs w:val="24"/>
        </w:rPr>
        <w:t>(За кандидати, кандидатстващи за увеличаване размера на финансовата помощ с 10 % от общия размер на допустимите за финансово подпомагане разходи, по т.2 на т. 10. Процент на съфинансиране от Условията за кандидатстване);</w:t>
      </w:r>
    </w:p>
    <w:p w14:paraId="3F31099F" w14:textId="4EEBB3EE" w:rsidR="001F57D4" w:rsidRDefault="00210FE9" w:rsidP="001F57D4">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5. Доказателство, че </w:t>
      </w:r>
      <w:r w:rsidR="00C74FC6">
        <w:rPr>
          <w:rFonts w:ascii="Times New Roman" w:hAnsi="Times New Roman" w:cs="Times New Roman"/>
          <w:sz w:val="24"/>
          <w:szCs w:val="24"/>
        </w:rPr>
        <w:t xml:space="preserve">проектното предложение включва </w:t>
      </w:r>
      <w:r w:rsidR="00C74FC6" w:rsidRPr="00C74FC6">
        <w:rPr>
          <w:rFonts w:ascii="Times New Roman" w:hAnsi="Times New Roman" w:cs="Times New Roman"/>
          <w:sz w:val="24"/>
          <w:szCs w:val="24"/>
        </w:rPr>
        <w:t>дейности, подпомагани по линия на ЕПИ</w:t>
      </w:r>
      <w:r>
        <w:rPr>
          <w:rFonts w:ascii="Times New Roman" w:hAnsi="Times New Roman" w:cs="Times New Roman"/>
          <w:sz w:val="24"/>
          <w:szCs w:val="24"/>
        </w:rPr>
        <w:t xml:space="preserve"> (Европейско партньорство за иновации). </w:t>
      </w:r>
      <w:r w:rsidRPr="00210FE9">
        <w:rPr>
          <w:rFonts w:ascii="Times New Roman" w:hAnsi="Times New Roman" w:cs="Times New Roman"/>
          <w:sz w:val="24"/>
          <w:szCs w:val="24"/>
        </w:rPr>
        <w:t>(За кандидати, кандидатстващи за увеличаване размера на финансовата помощ с 10 % от общия размер на допустимите за финан</w:t>
      </w:r>
      <w:r w:rsidR="00DC4572">
        <w:rPr>
          <w:rFonts w:ascii="Times New Roman" w:hAnsi="Times New Roman" w:cs="Times New Roman"/>
          <w:sz w:val="24"/>
          <w:szCs w:val="24"/>
        </w:rPr>
        <w:t>сово подпомагане разходи, по т.1</w:t>
      </w:r>
      <w:r w:rsidRPr="00210FE9">
        <w:rPr>
          <w:rFonts w:ascii="Times New Roman" w:hAnsi="Times New Roman" w:cs="Times New Roman"/>
          <w:sz w:val="24"/>
          <w:szCs w:val="24"/>
        </w:rPr>
        <w:t xml:space="preserve"> на т. 10. Процент на съфинансиране от Условията за кандидатстване);</w:t>
      </w:r>
    </w:p>
    <w:p w14:paraId="58F11007" w14:textId="2CD6837D" w:rsidR="001F57D4" w:rsidRPr="001F57D4" w:rsidRDefault="00210FE9" w:rsidP="002145C0">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 xml:space="preserve">6. </w:t>
      </w:r>
      <w:r w:rsidR="001F57D4" w:rsidRPr="001F57D4">
        <w:rPr>
          <w:rFonts w:ascii="Times New Roman" w:hAnsi="Times New Roman" w:cs="Times New Roman"/>
          <w:sz w:val="24"/>
          <w:szCs w:val="24"/>
        </w:rPr>
        <w:t xml:space="preserve">Удостоверение за ползван патент и/или удостоверение за полезен модел или внедряване на иновации. (когато е приложимо). Представя се във формат „pdf“. </w:t>
      </w:r>
      <w:r w:rsidR="002145C0">
        <w:rPr>
          <w:rFonts w:ascii="Times New Roman" w:hAnsi="Times New Roman" w:cs="Times New Roman"/>
          <w:sz w:val="24"/>
          <w:szCs w:val="24"/>
          <w:lang w:val="en-US"/>
        </w:rPr>
        <w:t>(</w:t>
      </w:r>
      <w:r w:rsidR="002145C0">
        <w:rPr>
          <w:rFonts w:ascii="Times New Roman" w:hAnsi="Times New Roman" w:cs="Times New Roman"/>
          <w:sz w:val="24"/>
          <w:szCs w:val="24"/>
        </w:rPr>
        <w:t xml:space="preserve">По критерий за оценка 7. </w:t>
      </w:r>
      <w:r w:rsidR="002145C0" w:rsidRPr="002145C0">
        <w:rPr>
          <w:rFonts w:ascii="Times New Roman" w:hAnsi="Times New Roman" w:cs="Times New Roman"/>
          <w:sz w:val="24"/>
          <w:szCs w:val="24"/>
        </w:rPr>
        <w:t xml:space="preserve">Подпомагане на проекти за въвеждане на нови </w:t>
      </w:r>
      <w:r w:rsidR="002145C0">
        <w:rPr>
          <w:rFonts w:ascii="Times New Roman" w:hAnsi="Times New Roman" w:cs="Times New Roman"/>
          <w:sz w:val="24"/>
          <w:szCs w:val="24"/>
        </w:rPr>
        <w:t xml:space="preserve">и енергоспестяващи технологии и </w:t>
      </w:r>
      <w:r w:rsidR="002145C0" w:rsidRPr="002145C0">
        <w:rPr>
          <w:rFonts w:ascii="Times New Roman" w:hAnsi="Times New Roman" w:cs="Times New Roman"/>
          <w:sz w:val="24"/>
          <w:szCs w:val="24"/>
        </w:rPr>
        <w:t>иновации в преработвателната промишленост</w:t>
      </w:r>
      <w:r w:rsidR="002145C0">
        <w:rPr>
          <w:rFonts w:ascii="Times New Roman" w:hAnsi="Times New Roman" w:cs="Times New Roman"/>
          <w:sz w:val="24"/>
          <w:szCs w:val="24"/>
        </w:rPr>
        <w:t>);</w:t>
      </w:r>
    </w:p>
    <w:p w14:paraId="14CB26ED" w14:textId="0944BB6A" w:rsidR="001F57D4" w:rsidRPr="001F57D4" w:rsidRDefault="002145C0" w:rsidP="001F57D4">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t>7.</w:t>
      </w:r>
      <w:r w:rsidR="00333DA8" w:rsidRPr="00333DA8">
        <w:t xml:space="preserve"> </w:t>
      </w:r>
      <w:r w:rsidR="00333DA8" w:rsidRPr="00333DA8">
        <w:rPr>
          <w:rFonts w:ascii="Times New Roman" w:hAnsi="Times New Roman" w:cs="Times New Roman"/>
          <w:sz w:val="24"/>
          <w:szCs w:val="24"/>
        </w:rPr>
        <w:t xml:space="preserve">Резюме и доклад за отразяване на резултатите от енергийно обследване на промишлената система, съобразно изискванията на Наредба № РД-16-346 от 2.04.2009 г. за показателите за разход на енергия, енергийните характеристики на промишлени системи, условията и реда за извършване на обследване за енергийна ефективност на промишлени системи, изготвени от правоспособни лица, вписани в публичния регистър по чл. 34, ал. 1 от Закона за енергийна ефективност (ЗЕЕ). Представя се във формат „pdf“ или „jpg“; </w:t>
      </w:r>
      <w:r w:rsidRPr="002145C0">
        <w:rPr>
          <w:rFonts w:ascii="Times New Roman" w:hAnsi="Times New Roman" w:cs="Times New Roman"/>
          <w:sz w:val="24"/>
          <w:szCs w:val="24"/>
        </w:rPr>
        <w:t>(По критерий за оценка 7. Подпомагане на проекти за въвеждане на нови и енергоспестяващи технологии и иновации в преработвателната промишленост);</w:t>
      </w:r>
    </w:p>
    <w:p w14:paraId="0D3DEDC6" w14:textId="038B9B1C" w:rsidR="00CD07F3" w:rsidRDefault="00CD07F3" w:rsidP="001F57D4">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lang w:val="en-US"/>
        </w:rPr>
        <w:t xml:space="preserve">8. </w:t>
      </w:r>
      <w:r w:rsidRPr="00CD07F3">
        <w:rPr>
          <w:rFonts w:ascii="Times New Roman" w:hAnsi="Times New Roman" w:cs="Times New Roman"/>
          <w:sz w:val="24"/>
          <w:szCs w:val="24"/>
        </w:rPr>
        <w:t>Становище, издадено от правоспособно лице, от което да е видно кои от инвестициите в проекта са свързани с опазване компонентите на околната среда и вида на компонента засегнат от инвестицията. Представ</w:t>
      </w:r>
      <w:r>
        <w:rPr>
          <w:rFonts w:ascii="Times New Roman" w:hAnsi="Times New Roman" w:cs="Times New Roman"/>
          <w:sz w:val="24"/>
          <w:szCs w:val="24"/>
        </w:rPr>
        <w:t xml:space="preserve">я се във формат „pdf“ или „jpg“ (По критерий за оценка </w:t>
      </w:r>
      <w:r w:rsidRPr="00CD07F3">
        <w:rPr>
          <w:rFonts w:ascii="Times New Roman" w:hAnsi="Times New Roman" w:cs="Times New Roman"/>
          <w:sz w:val="24"/>
          <w:szCs w:val="24"/>
        </w:rPr>
        <w:t>2. Проектът води до опазване на компонентите на околната среда</w:t>
      </w:r>
      <w:r>
        <w:rPr>
          <w:rFonts w:ascii="Times New Roman" w:hAnsi="Times New Roman" w:cs="Times New Roman"/>
          <w:sz w:val="24"/>
          <w:szCs w:val="24"/>
        </w:rPr>
        <w:t>)</w:t>
      </w:r>
      <w:r w:rsidR="00E85DD8">
        <w:rPr>
          <w:rFonts w:ascii="Times New Roman" w:hAnsi="Times New Roman" w:cs="Times New Roman"/>
          <w:sz w:val="24"/>
          <w:szCs w:val="24"/>
        </w:rPr>
        <w:t>;</w:t>
      </w:r>
    </w:p>
    <w:p w14:paraId="024DF3B8" w14:textId="55A8C3B8" w:rsidR="00E85DD8" w:rsidRPr="00E85DD8" w:rsidRDefault="00E85DD8" w:rsidP="00E85DD8">
      <w:pPr>
        <w:pBdr>
          <w:top w:val="single" w:sz="4" w:space="1" w:color="auto"/>
          <w:left w:val="single" w:sz="4" w:space="4" w:color="auto"/>
          <w:bottom w:val="single" w:sz="4" w:space="1" w:color="auto"/>
          <w:right w:val="single" w:sz="4" w:space="4" w:color="auto"/>
        </w:pBdr>
        <w:spacing w:before="240"/>
        <w:jc w:val="both"/>
        <w:rPr>
          <w:rFonts w:ascii="Times New Roman" w:hAnsi="Times New Roman" w:cs="Times New Roman"/>
          <w:sz w:val="24"/>
          <w:szCs w:val="24"/>
        </w:rPr>
      </w:pPr>
      <w:r>
        <w:rPr>
          <w:rFonts w:ascii="Times New Roman" w:hAnsi="Times New Roman" w:cs="Times New Roman"/>
          <w:sz w:val="24"/>
          <w:szCs w:val="24"/>
        </w:rPr>
        <w:lastRenderedPageBreak/>
        <w:t>9</w:t>
      </w:r>
      <w:r w:rsidRPr="00E85DD8">
        <w:rPr>
          <w:rFonts w:ascii="Times New Roman" w:hAnsi="Times New Roman" w:cs="Times New Roman"/>
          <w:sz w:val="24"/>
          <w:szCs w:val="24"/>
        </w:rPr>
        <w:t>. Становище на БАБХ, от което да е видно кои от предвидените инвестиции в проекта са насочени към постигане на стандартите на ЕС</w:t>
      </w:r>
      <w:r w:rsidRPr="00E85DD8">
        <w:rPr>
          <w:rFonts w:ascii="Times New Roman" w:hAnsi="Times New Roman" w:cs="Times New Roman"/>
          <w:sz w:val="24"/>
          <w:szCs w:val="24"/>
          <w:lang w:val="en-US"/>
        </w:rPr>
        <w:t>.</w:t>
      </w:r>
      <w:r w:rsidRPr="00E85DD8">
        <w:rPr>
          <w:rFonts w:ascii="Times New Roman" w:hAnsi="Times New Roman" w:cs="Times New Roman"/>
          <w:sz w:val="24"/>
          <w:szCs w:val="24"/>
        </w:rPr>
        <w:t xml:space="preserve"> Представя се във формат „pdf“ или „jpg“. (По критерий за оценка 3. Проектът води до постигане на съответствие със стандартите на Европейския съюз);</w:t>
      </w:r>
    </w:p>
    <w:p w14:paraId="38463261" w14:textId="4701C952" w:rsidR="00D6282F" w:rsidRDefault="00BD6FA6" w:rsidP="00E85DD8">
      <w:pPr>
        <w:pBdr>
          <w:top w:val="single" w:sz="4" w:space="1" w:color="auto"/>
          <w:left w:val="single" w:sz="4" w:space="4" w:color="auto"/>
          <w:bottom w:val="single" w:sz="4" w:space="1" w:color="auto"/>
          <w:right w:val="single" w:sz="4" w:space="4" w:color="auto"/>
        </w:pBdr>
        <w:spacing w:before="240"/>
        <w:jc w:val="both"/>
        <w:rPr>
          <w:rFonts w:ascii="Times New Roman" w:hAnsi="Times New Roman" w:cs="Times New Roman"/>
          <w:sz w:val="24"/>
          <w:szCs w:val="24"/>
        </w:rPr>
      </w:pPr>
      <w:r>
        <w:rPr>
          <w:rFonts w:ascii="Times New Roman" w:hAnsi="Times New Roman" w:cs="Times New Roman"/>
          <w:sz w:val="24"/>
          <w:szCs w:val="24"/>
        </w:rPr>
        <w:t xml:space="preserve">10. </w:t>
      </w:r>
      <w:r w:rsidR="00D6282F" w:rsidRPr="00D6282F">
        <w:rPr>
          <w:rFonts w:ascii="Times New Roman" w:hAnsi="Times New Roman" w:cs="Times New Roman"/>
          <w:sz w:val="24"/>
          <w:szCs w:val="24"/>
        </w:rPr>
        <w:t>Предварителни или окончателни договори с описани вид, количества, произход и цени на основните суровини (важи в случаите, когато не се предвижда преработка на собств</w:t>
      </w:r>
      <w:r w:rsidR="00D6282F">
        <w:rPr>
          <w:rFonts w:ascii="Times New Roman" w:hAnsi="Times New Roman" w:cs="Times New Roman"/>
          <w:sz w:val="24"/>
          <w:szCs w:val="24"/>
        </w:rPr>
        <w:t>ена земеделска продукция по критерий за оценка 4.</w:t>
      </w:r>
      <w:r w:rsidR="00D6282F" w:rsidRPr="00D6282F">
        <w:t xml:space="preserve"> </w:t>
      </w:r>
      <w:r w:rsidR="00D6282F" w:rsidRPr="00D6282F">
        <w:rPr>
          <w:rFonts w:ascii="Times New Roman" w:hAnsi="Times New Roman" w:cs="Times New Roman"/>
          <w:sz w:val="24"/>
          <w:szCs w:val="24"/>
        </w:rPr>
        <w:t>Преработка на суровини от чувствителни сектори</w:t>
      </w:r>
      <w:r w:rsidR="00D6282F">
        <w:rPr>
          <w:rFonts w:ascii="Times New Roman" w:hAnsi="Times New Roman" w:cs="Times New Roman"/>
          <w:sz w:val="24"/>
          <w:szCs w:val="24"/>
        </w:rPr>
        <w:t>)-</w:t>
      </w:r>
      <w:r w:rsidR="00D6282F" w:rsidRPr="00D6282F">
        <w:rPr>
          <w:rFonts w:ascii="Times New Roman" w:hAnsi="Times New Roman" w:cs="Times New Roman"/>
          <w:sz w:val="24"/>
          <w:szCs w:val="24"/>
        </w:rPr>
        <w:t xml:space="preserve"> като доказателство, че осигурените най-малко 50 % от обема на преработените суровини са от растителен или животински произход, попадащи в обхвата на чувствителните сектори</w:t>
      </w:r>
      <w:r w:rsidR="00D6282F">
        <w:rPr>
          <w:rFonts w:ascii="Times New Roman" w:hAnsi="Times New Roman" w:cs="Times New Roman"/>
          <w:sz w:val="24"/>
          <w:szCs w:val="24"/>
        </w:rPr>
        <w:t>;</w:t>
      </w:r>
    </w:p>
    <w:p w14:paraId="48C97DD9" w14:textId="3017261C" w:rsidR="006163E3" w:rsidRPr="002D54C2" w:rsidRDefault="00D6282F" w:rsidP="002D54C2">
      <w:pPr>
        <w:pBdr>
          <w:top w:val="single" w:sz="4" w:space="1" w:color="auto"/>
          <w:left w:val="single" w:sz="4" w:space="4" w:color="auto"/>
          <w:bottom w:val="single" w:sz="4" w:space="1" w:color="auto"/>
          <w:right w:val="single" w:sz="4" w:space="4" w:color="auto"/>
        </w:pBdr>
        <w:spacing w:before="240"/>
        <w:jc w:val="both"/>
        <w:rPr>
          <w:rFonts w:ascii="Times New Roman" w:hAnsi="Times New Roman" w:cs="Times New Roman"/>
          <w:sz w:val="24"/>
          <w:szCs w:val="24"/>
        </w:rPr>
      </w:pPr>
      <w:r>
        <w:rPr>
          <w:rFonts w:ascii="Times New Roman" w:hAnsi="Times New Roman" w:cs="Times New Roman"/>
          <w:sz w:val="24"/>
          <w:szCs w:val="24"/>
        </w:rPr>
        <w:t>11. Д</w:t>
      </w:r>
      <w:r w:rsidRPr="00D6282F">
        <w:rPr>
          <w:rFonts w:ascii="Times New Roman" w:hAnsi="Times New Roman" w:cs="Times New Roman"/>
          <w:sz w:val="24"/>
          <w:szCs w:val="24"/>
        </w:rPr>
        <w:t>екл</w:t>
      </w:r>
      <w:r w:rsidR="00920758">
        <w:rPr>
          <w:rFonts w:ascii="Times New Roman" w:hAnsi="Times New Roman" w:cs="Times New Roman"/>
          <w:sz w:val="24"/>
          <w:szCs w:val="24"/>
        </w:rPr>
        <w:t xml:space="preserve">арация </w:t>
      </w:r>
      <w:r w:rsidR="00771C61">
        <w:rPr>
          <w:rFonts w:ascii="Times New Roman" w:hAnsi="Times New Roman" w:cs="Times New Roman"/>
          <w:sz w:val="24"/>
          <w:szCs w:val="24"/>
        </w:rPr>
        <w:t xml:space="preserve">(Приложение № </w:t>
      </w:r>
      <w:r w:rsidR="00EE28C1">
        <w:rPr>
          <w:rFonts w:ascii="Times New Roman" w:hAnsi="Times New Roman" w:cs="Times New Roman"/>
          <w:sz w:val="24"/>
          <w:szCs w:val="24"/>
          <w:lang w:val="en-US"/>
        </w:rPr>
        <w:t>18</w:t>
      </w:r>
      <w:bookmarkStart w:id="83" w:name="_GoBack"/>
      <w:bookmarkEnd w:id="83"/>
      <w:r w:rsidR="009124D5">
        <w:rPr>
          <w:rFonts w:ascii="Times New Roman" w:hAnsi="Times New Roman" w:cs="Times New Roman"/>
          <w:sz w:val="24"/>
          <w:szCs w:val="24"/>
        </w:rPr>
        <w:t xml:space="preserve">) </w:t>
      </w:r>
      <w:r w:rsidRPr="00D6282F">
        <w:rPr>
          <w:rFonts w:ascii="Times New Roman" w:hAnsi="Times New Roman" w:cs="Times New Roman"/>
          <w:sz w:val="24"/>
          <w:szCs w:val="24"/>
        </w:rPr>
        <w:t>от кандидата с описани вид, количества и произход на основните суровини (важи в случаите, когато се предвижда преработка на собствена земеделска продукция) като доказателство, че осигурените най-малко 50 % от обема на преработените суровини са от растителен или животински произход, попадащи в обхвата на чувствителните сектори)</w:t>
      </w:r>
      <w:r>
        <w:rPr>
          <w:rFonts w:ascii="Times New Roman" w:hAnsi="Times New Roman" w:cs="Times New Roman"/>
          <w:sz w:val="24"/>
          <w:szCs w:val="24"/>
        </w:rPr>
        <w:t>-</w:t>
      </w:r>
      <w:r w:rsidRPr="00D6282F">
        <w:rPr>
          <w:rFonts w:ascii="Times New Roman" w:hAnsi="Times New Roman" w:cs="Times New Roman"/>
          <w:sz w:val="24"/>
          <w:szCs w:val="24"/>
        </w:rPr>
        <w:t xml:space="preserve"> </w:t>
      </w:r>
      <w:r>
        <w:rPr>
          <w:rFonts w:ascii="Times New Roman" w:hAnsi="Times New Roman" w:cs="Times New Roman"/>
          <w:sz w:val="24"/>
          <w:szCs w:val="24"/>
        </w:rPr>
        <w:t>по критерий за оценка 4.</w:t>
      </w:r>
      <w:r w:rsidRPr="00D6282F">
        <w:t xml:space="preserve"> </w:t>
      </w:r>
      <w:r w:rsidRPr="00D6282F">
        <w:rPr>
          <w:rFonts w:ascii="Times New Roman" w:hAnsi="Times New Roman" w:cs="Times New Roman"/>
          <w:sz w:val="24"/>
          <w:szCs w:val="24"/>
        </w:rPr>
        <w:t>Преработка на суровини от чувствителни сектори</w:t>
      </w:r>
      <w:r w:rsidR="00384210">
        <w:rPr>
          <w:rFonts w:ascii="Times New Roman" w:hAnsi="Times New Roman" w:cs="Times New Roman"/>
          <w:sz w:val="24"/>
          <w:szCs w:val="24"/>
        </w:rPr>
        <w:t>.</w:t>
      </w:r>
      <w:bookmarkStart w:id="84" w:name="_Toc535495207"/>
    </w:p>
    <w:p w14:paraId="74EDC831" w14:textId="77777777" w:rsidR="006163E3" w:rsidRPr="006163E3" w:rsidRDefault="006163E3" w:rsidP="006163E3"/>
    <w:p w14:paraId="261C5BF7" w14:textId="116443C3" w:rsidR="0006081F" w:rsidRPr="007713C1" w:rsidRDefault="00CD534E" w:rsidP="003A2D4B">
      <w:pPr>
        <w:pStyle w:val="Heading1"/>
      </w:pPr>
      <w:r>
        <w:t>2</w:t>
      </w:r>
      <w:r w:rsidR="00D93C0A">
        <w:t>5</w:t>
      </w:r>
      <w:r w:rsidR="0006081F" w:rsidRPr="007713C1">
        <w:t xml:space="preserve">. </w:t>
      </w:r>
      <w:r w:rsidR="00D93C0A">
        <w:t>Краен срок</w:t>
      </w:r>
      <w:r w:rsidR="00D93C0A" w:rsidRPr="007713C1">
        <w:t xml:space="preserve"> за подаване на проектните предложения</w:t>
      </w:r>
      <w:r w:rsidR="0006081F" w:rsidRPr="007713C1">
        <w:t>:</w:t>
      </w:r>
      <w:bookmarkEnd w:id="81"/>
      <w:bookmarkEnd w:id="84"/>
    </w:p>
    <w:p w14:paraId="6E855E99" w14:textId="4F2441BF" w:rsidR="00EA2429" w:rsidRPr="00EA2429" w:rsidRDefault="00CF24BC" w:rsidP="00EA2429">
      <w:pPr>
        <w:pStyle w:val="Heading1"/>
        <w:pBdr>
          <w:top w:val="single" w:sz="4" w:space="1" w:color="auto"/>
          <w:left w:val="single" w:sz="4" w:space="4" w:color="auto"/>
          <w:bottom w:val="single" w:sz="4" w:space="1" w:color="auto"/>
          <w:right w:val="single" w:sz="4" w:space="4" w:color="auto"/>
        </w:pBdr>
        <w:rPr>
          <w:b w:val="0"/>
          <w:color w:val="auto"/>
          <w:sz w:val="24"/>
          <w:szCs w:val="24"/>
        </w:rPr>
      </w:pPr>
      <w:bookmarkStart w:id="85" w:name="_Toc505087469"/>
      <w:bookmarkStart w:id="86" w:name="_Toc535495208"/>
      <w:bookmarkStart w:id="87" w:name="_Toc445385619"/>
      <w:r>
        <w:rPr>
          <w:color w:val="auto"/>
          <w:sz w:val="24"/>
          <w:szCs w:val="24"/>
        </w:rPr>
        <w:t>Първи</w:t>
      </w:r>
      <w:r w:rsidR="00C42665" w:rsidRPr="00C42665">
        <w:rPr>
          <w:color w:val="auto"/>
          <w:sz w:val="24"/>
          <w:szCs w:val="24"/>
        </w:rPr>
        <w:t xml:space="preserve"> краен срок за пода</w:t>
      </w:r>
      <w:r w:rsidR="00A50BE1">
        <w:rPr>
          <w:color w:val="auto"/>
          <w:sz w:val="24"/>
          <w:szCs w:val="24"/>
        </w:rPr>
        <w:t>ване на проектните предложения:</w:t>
      </w:r>
      <w:r w:rsidR="00C42665" w:rsidRPr="00C42665">
        <w:rPr>
          <w:color w:val="auto"/>
          <w:sz w:val="24"/>
          <w:szCs w:val="24"/>
        </w:rPr>
        <w:t xml:space="preserve"> </w:t>
      </w:r>
      <w:r w:rsidR="00DC4A66" w:rsidRPr="00FE0D4C">
        <w:rPr>
          <w:color w:val="auto"/>
          <w:sz w:val="24"/>
          <w:szCs w:val="24"/>
        </w:rPr>
        <w:t>31.05.2022</w:t>
      </w:r>
      <w:r w:rsidR="00C42665" w:rsidRPr="00FE0D4C">
        <w:rPr>
          <w:color w:val="auto"/>
          <w:sz w:val="24"/>
          <w:szCs w:val="24"/>
        </w:rPr>
        <w:t xml:space="preserve"> г., 16:00 часа.</w:t>
      </w:r>
      <w:r w:rsidR="00C42665" w:rsidRPr="00C42665">
        <w:rPr>
          <w:b w:val="0"/>
          <w:color w:val="auto"/>
          <w:sz w:val="24"/>
          <w:szCs w:val="24"/>
        </w:rPr>
        <w:t xml:space="preserve"> </w:t>
      </w:r>
    </w:p>
    <w:p w14:paraId="1BAFF41B" w14:textId="560E24D5" w:rsidR="00CF24BC" w:rsidRPr="00CF24BC" w:rsidRDefault="00CF24BC" w:rsidP="00CF24BC">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b/>
          <w:sz w:val="24"/>
          <w:szCs w:val="24"/>
        </w:rPr>
        <w:t>Втори</w:t>
      </w:r>
      <w:r w:rsidRPr="00CF24BC">
        <w:rPr>
          <w:rFonts w:ascii="Times New Roman" w:hAnsi="Times New Roman" w:cs="Times New Roman"/>
          <w:b/>
          <w:sz w:val="24"/>
          <w:szCs w:val="24"/>
        </w:rPr>
        <w:t xml:space="preserve"> краен срок за подаване </w:t>
      </w:r>
      <w:r w:rsidR="00DC4A66">
        <w:rPr>
          <w:rFonts w:ascii="Times New Roman" w:hAnsi="Times New Roman" w:cs="Times New Roman"/>
          <w:b/>
          <w:sz w:val="24"/>
          <w:szCs w:val="24"/>
        </w:rPr>
        <w:t>на проектните предложения: 31.10.2022</w:t>
      </w:r>
      <w:r w:rsidRPr="00CF24BC">
        <w:rPr>
          <w:rFonts w:ascii="Times New Roman" w:hAnsi="Times New Roman" w:cs="Times New Roman"/>
          <w:b/>
          <w:sz w:val="24"/>
          <w:szCs w:val="24"/>
        </w:rPr>
        <w:t xml:space="preserve"> г., 16:00 часа.</w:t>
      </w:r>
      <w:r w:rsidRPr="00CF24BC">
        <w:rPr>
          <w:rFonts w:ascii="Times New Roman" w:hAnsi="Times New Roman" w:cs="Times New Roman"/>
          <w:sz w:val="24"/>
          <w:szCs w:val="24"/>
        </w:rPr>
        <w:t xml:space="preserve"> </w:t>
      </w:r>
      <w:r>
        <w:rPr>
          <w:rFonts w:ascii="Times New Roman" w:hAnsi="Times New Roman" w:cs="Times New Roman"/>
          <w:sz w:val="24"/>
          <w:szCs w:val="24"/>
        </w:rPr>
        <w:t>(</w:t>
      </w:r>
      <w:r w:rsidRPr="00CF24BC">
        <w:rPr>
          <w:rFonts w:ascii="Times New Roman" w:hAnsi="Times New Roman" w:cs="Times New Roman"/>
          <w:sz w:val="24"/>
          <w:szCs w:val="24"/>
        </w:rPr>
        <w:t>Приемът по втори краен срок за подаване на проектни предложения ще се проведе в случай, че са налични остатъчни средства от първия краен срок за подаване на проектни предложения).</w:t>
      </w:r>
    </w:p>
    <w:p w14:paraId="2A6CB896" w14:textId="77777777" w:rsidR="00C42665" w:rsidRDefault="00C42665" w:rsidP="00C42665">
      <w:pPr>
        <w:pStyle w:val="Heading1"/>
        <w:rPr>
          <w:color w:val="auto"/>
          <w:sz w:val="24"/>
          <w:szCs w:val="24"/>
        </w:rPr>
      </w:pPr>
    </w:p>
    <w:p w14:paraId="38B84839" w14:textId="3AECD323" w:rsidR="0094375D" w:rsidRPr="0094375D" w:rsidRDefault="0094375D" w:rsidP="00C42665">
      <w:pPr>
        <w:pStyle w:val="Heading1"/>
      </w:pPr>
      <w:r w:rsidRPr="0094375D">
        <w:t>2</w:t>
      </w:r>
      <w:r w:rsidR="00D93C0A">
        <w:t>6</w:t>
      </w:r>
      <w:r w:rsidRPr="0094375D">
        <w:t>. Адрес за подаване на проектните предложения</w:t>
      </w:r>
      <w:bookmarkEnd w:id="85"/>
      <w:bookmarkEnd w:id="86"/>
    </w:p>
    <w:p w14:paraId="225F2FC4" w14:textId="0FC5B536" w:rsidR="0094375D" w:rsidRDefault="0094375D" w:rsidP="00D93C0A">
      <w:pPr>
        <w:pBdr>
          <w:top w:val="single" w:sz="4" w:space="1" w:color="auto"/>
          <w:left w:val="single" w:sz="4" w:space="4" w:color="auto"/>
          <w:bottom w:val="single" w:sz="4" w:space="1" w:color="auto"/>
          <w:right w:val="single" w:sz="4" w:space="4" w:color="auto"/>
        </w:pBdr>
      </w:pPr>
      <w:r w:rsidRPr="00E568E5">
        <w:rPr>
          <w:rFonts w:ascii="Times New Roman" w:hAnsi="Times New Roman" w:cs="Times New Roman"/>
          <w:sz w:val="24"/>
          <w:szCs w:val="24"/>
        </w:rPr>
        <w:t xml:space="preserve">Проектните предложения по настоящата процедура се подават по изцяло електронен път чрез ИСУН 2020  на следния интернет адрес: </w:t>
      </w:r>
      <w:hyperlink r:id="rId13" w:history="1">
        <w:r w:rsidRPr="00E568E5">
          <w:rPr>
            <w:rStyle w:val="Hyperlink"/>
            <w:rFonts w:ascii="Times New Roman" w:hAnsi="Times New Roman" w:cs="Times New Roman"/>
            <w:sz w:val="24"/>
            <w:szCs w:val="24"/>
          </w:rPr>
          <w:t>https://eumis2020.government.bg.</w:t>
        </w:r>
      </w:hyperlink>
    </w:p>
    <w:p w14:paraId="59AFC6B0" w14:textId="0B5CBE44" w:rsidR="00F63260" w:rsidRDefault="0094375D" w:rsidP="003A2D4B">
      <w:pPr>
        <w:pStyle w:val="Heading1"/>
      </w:pPr>
      <w:bookmarkStart w:id="88" w:name="_Toc535495209"/>
      <w:r>
        <w:t>2</w:t>
      </w:r>
      <w:r w:rsidR="00D93C0A">
        <w:t>7</w:t>
      </w:r>
      <w:r w:rsidR="00C57CC3" w:rsidRPr="007713C1">
        <w:t xml:space="preserve">. </w:t>
      </w:r>
      <w:r>
        <w:t>Допълнителна информация</w:t>
      </w:r>
      <w:r w:rsidR="00F63260" w:rsidRPr="007713C1">
        <w:t>:</w:t>
      </w:r>
      <w:bookmarkEnd w:id="87"/>
      <w:bookmarkEnd w:id="88"/>
    </w:p>
    <w:p w14:paraId="31C9C483" w14:textId="77777777" w:rsidR="00D93C0A" w:rsidRPr="0031563F" w:rsidRDefault="00D93C0A" w:rsidP="00D93C0A">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D93C0A">
        <w:rPr>
          <w:rFonts w:ascii="Times New Roman" w:hAnsi="Times New Roman" w:cs="Times New Roman"/>
          <w:sz w:val="24"/>
          <w:szCs w:val="24"/>
        </w:rPr>
        <w:t xml:space="preserve">Във формуляра за кандидатстване в раздел „Допълнителна информация“ бенефициентът </w:t>
      </w:r>
      <w:r w:rsidRPr="0031563F">
        <w:rPr>
          <w:rFonts w:ascii="Times New Roman" w:hAnsi="Times New Roman" w:cs="Times New Roman"/>
          <w:sz w:val="24"/>
          <w:szCs w:val="24"/>
        </w:rPr>
        <w:t>попълва задължителните данни съгласно чл. 46, ал. 6 от Наредба № 22 от 2015 г.:</w:t>
      </w:r>
    </w:p>
    <w:p w14:paraId="429C2A19" w14:textId="77777777" w:rsidR="0031563F" w:rsidRPr="0031563F" w:rsidRDefault="0031563F" w:rsidP="00D93C0A">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p>
    <w:p w14:paraId="5A4BC46A" w14:textId="1674A531" w:rsidR="0031563F" w:rsidRPr="0031563F" w:rsidRDefault="0031563F" w:rsidP="00D93C0A">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shd w:val="clear" w:color="auto" w:fill="FFFFFF"/>
        </w:rPr>
      </w:pPr>
      <w:r w:rsidRPr="0031563F">
        <w:rPr>
          <w:rFonts w:ascii="Times New Roman" w:hAnsi="Times New Roman" w:cs="Times New Roman"/>
          <w:sz w:val="24"/>
          <w:szCs w:val="24"/>
        </w:rPr>
        <w:lastRenderedPageBreak/>
        <w:t xml:space="preserve">- </w:t>
      </w:r>
      <w:r w:rsidRPr="0031563F">
        <w:rPr>
          <w:rFonts w:ascii="Times New Roman" w:hAnsi="Times New Roman" w:cs="Times New Roman"/>
          <w:sz w:val="24"/>
          <w:szCs w:val="24"/>
          <w:shd w:val="clear" w:color="auto" w:fill="FFFFFF"/>
        </w:rPr>
        <w:t>Съответствие с хоризонталните политики на ЕС: Моля, опишете съответствието на проектното предложение със следните принципи на хоризонталните политики на ЕС: 1. Подобряване условията на живот в селския район посредством формулирани конкретни цели на проектното предложение в контекста на общите цели и приоритети на местно ниво; 2. Равнопоставеност и недопускане на недискриминацията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 3.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w:t>
      </w:r>
    </w:p>
    <w:p w14:paraId="5C8932F4" w14:textId="77777777" w:rsidR="0031563F" w:rsidRPr="0031563F" w:rsidRDefault="0031563F" w:rsidP="00D93C0A">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p>
    <w:p w14:paraId="47172E11" w14:textId="7C020702" w:rsidR="0031563F" w:rsidRPr="0031563F" w:rsidRDefault="0031563F" w:rsidP="00D93C0A">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shd w:val="clear" w:color="auto" w:fill="FFFFFF"/>
        </w:rPr>
      </w:pPr>
      <w:r w:rsidRPr="0031563F">
        <w:rPr>
          <w:rFonts w:ascii="Times New Roman" w:hAnsi="Times New Roman" w:cs="Times New Roman"/>
          <w:sz w:val="24"/>
          <w:szCs w:val="24"/>
          <w:shd w:val="clear" w:color="auto" w:fill="FFFFFF"/>
        </w:rPr>
        <w:t>- Уникален регистрационен номер (УРН): С цел набавяне на пълен набор от данни за издаване на уникален регистрационен номер (УРН) от Държавен фонд „Земеделие“ (в случай, че няма издаден УРН), е необходимо да се попълни: 1/ Следната информация за издаване на уникален регистрационен номер: ЕГН/ЛНЧ (Личен номер на чужденец); Документ за самоличност (№, дата на издаване, валидност); Данни за представляващия юридическо лице, вкл. ЕГН, пол и възраст за представляващия (когато е приложимо); Седалище и/или адрес по местоживеене (когато е приложимо); Адрес за кореспонденция; ИЛИ 2/ Да се въведе УРН (в случай, че вече е издаден на кандидата);</w:t>
      </w:r>
    </w:p>
    <w:p w14:paraId="4955317A" w14:textId="77777777" w:rsidR="0031563F" w:rsidRPr="0031563F" w:rsidRDefault="0031563F" w:rsidP="00D93C0A">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shd w:val="clear" w:color="auto" w:fill="FFFFFF"/>
        </w:rPr>
      </w:pPr>
    </w:p>
    <w:p w14:paraId="6457F753" w14:textId="100FED00" w:rsidR="0031563F" w:rsidRPr="0031563F" w:rsidRDefault="0031563F" w:rsidP="00D93C0A">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shd w:val="clear" w:color="auto" w:fill="FFFFFF"/>
        </w:rPr>
      </w:pPr>
      <w:r w:rsidRPr="0031563F">
        <w:rPr>
          <w:rFonts w:ascii="Times New Roman" w:hAnsi="Times New Roman" w:cs="Times New Roman"/>
          <w:sz w:val="24"/>
          <w:szCs w:val="24"/>
          <w:shd w:val="clear" w:color="auto" w:fill="FFFFFF"/>
        </w:rPr>
        <w:t>- Декларация: Декларирам, че: Съм запознат и съм съгласен с правилата за отпускане на финансова помощ по Програма за развитие на селските райони 2014 - 2020 г. Посочените от мен факти и обстоятелства са верни и съм съгласен да бъдат проверени на място от служители на Управляващия орган на ПРСР 2014-2020 г., ДФ „Земеделие“, от служители на УО на програмите, включени в стратегията, и от упълномощени представители на Европейската комисия. Прикачените документи са сканирани оригинали и представляват истински оригинали. Известна ми е наказателната отговорност по чл. 313 и чл. 248а, ал. 2 от НК за предоставени от мен неверни данни и документи;</w:t>
      </w:r>
    </w:p>
    <w:p w14:paraId="0F3219AE" w14:textId="77777777" w:rsidR="0031563F" w:rsidRPr="0031563F" w:rsidRDefault="0031563F" w:rsidP="00D93C0A">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shd w:val="clear" w:color="auto" w:fill="FFFFFF"/>
        </w:rPr>
      </w:pPr>
    </w:p>
    <w:p w14:paraId="4E03CE3C" w14:textId="51D32AC9" w:rsidR="0031563F" w:rsidRPr="0031563F" w:rsidRDefault="0031563F" w:rsidP="00D93C0A">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shd w:val="clear" w:color="auto" w:fill="FFFFFF"/>
        </w:rPr>
      </w:pPr>
      <w:r w:rsidRPr="0031563F">
        <w:rPr>
          <w:rFonts w:ascii="Times New Roman" w:hAnsi="Times New Roman" w:cs="Times New Roman"/>
          <w:sz w:val="24"/>
          <w:szCs w:val="24"/>
          <w:shd w:val="clear" w:color="auto" w:fill="FFFFFF"/>
        </w:rPr>
        <w:t xml:space="preserve">- Критерий за оценка 1. „Проектът предвижда къси вериги на доставка“: В случай, че заявявате съответствие с критерий за оценка 1, моля представете обосновка относно начина, по който късите вериги за доставка са включени в проектното предложение. „Късите вериги за доставка на храни са тези, при които продуктът е проследим до производителя и до </w:t>
      </w:r>
      <w:r w:rsidRPr="0031563F">
        <w:rPr>
          <w:rFonts w:ascii="Times New Roman" w:hAnsi="Times New Roman" w:cs="Times New Roman"/>
          <w:sz w:val="24"/>
          <w:szCs w:val="24"/>
          <w:shd w:val="clear" w:color="auto" w:fill="FFFFFF"/>
        </w:rPr>
        <w:lastRenderedPageBreak/>
        <w:t>фермата, където е произведен. Броят на посредниците между производителя и крайния потребител трябва да бъде сведен до минимум или в най-добрия случай до нула.;</w:t>
      </w:r>
    </w:p>
    <w:p w14:paraId="79767E2B" w14:textId="77777777" w:rsidR="0031563F" w:rsidRPr="0031563F" w:rsidRDefault="0031563F" w:rsidP="00D93C0A">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shd w:val="clear" w:color="auto" w:fill="FFFFFF"/>
        </w:rPr>
      </w:pPr>
    </w:p>
    <w:p w14:paraId="7BDC0441" w14:textId="63A1337F" w:rsidR="0031563F" w:rsidRDefault="0031563F" w:rsidP="009743CE">
      <w:pPr>
        <w:pBdr>
          <w:top w:val="single" w:sz="4" w:space="1" w:color="auto"/>
          <w:left w:val="single" w:sz="4" w:space="4" w:color="auto"/>
          <w:bottom w:val="single" w:sz="4" w:space="1" w:color="auto"/>
          <w:right w:val="single" w:sz="4" w:space="4" w:color="auto"/>
        </w:pBdr>
        <w:spacing w:after="0"/>
        <w:jc w:val="both"/>
      </w:pPr>
      <w:r w:rsidRPr="0031563F">
        <w:rPr>
          <w:rFonts w:ascii="Times New Roman" w:hAnsi="Times New Roman" w:cs="Times New Roman"/>
          <w:sz w:val="24"/>
          <w:szCs w:val="24"/>
          <w:shd w:val="clear" w:color="auto" w:fill="FFFFFF"/>
        </w:rPr>
        <w:t xml:space="preserve">- </w:t>
      </w:r>
      <w:bookmarkStart w:id="89" w:name="_Toc445385629"/>
      <w:r w:rsidR="00165CE4" w:rsidRPr="00165CE4">
        <w:rPr>
          <w:rFonts w:ascii="Times New Roman" w:hAnsi="Times New Roman" w:cs="Times New Roman"/>
          <w:sz w:val="24"/>
          <w:szCs w:val="24"/>
          <w:shd w:val="clear" w:color="auto" w:fill="FFFFFF"/>
        </w:rPr>
        <w:t>Съответствие с критериите за оценка и допълнителна информация</w:t>
      </w:r>
      <w:r w:rsidR="00165CE4">
        <w:rPr>
          <w:rFonts w:ascii="Times New Roman" w:hAnsi="Times New Roman" w:cs="Times New Roman"/>
          <w:sz w:val="24"/>
          <w:szCs w:val="24"/>
          <w:shd w:val="clear" w:color="auto" w:fill="FFFFFF"/>
        </w:rPr>
        <w:t xml:space="preserve">: </w:t>
      </w:r>
      <w:r w:rsidR="00165CE4" w:rsidRPr="00165CE4">
        <w:rPr>
          <w:rFonts w:ascii="Times New Roman" w:hAnsi="Times New Roman" w:cs="Times New Roman"/>
          <w:sz w:val="24"/>
          <w:szCs w:val="24"/>
          <w:shd w:val="clear" w:color="auto" w:fill="FFFFFF"/>
        </w:rPr>
        <w:t>В това поле кандидатът може да опише с кои критерии за оценка заявява съответствие (без критерий за оценка 1) и да представи допълнителна информация и данни, които счита за важни във връзка с оценката на проектното предложение (полето се попълва по преценка на кандидата).</w:t>
      </w:r>
    </w:p>
    <w:p w14:paraId="599090FA" w14:textId="253278E4" w:rsidR="00F63260" w:rsidRPr="007713C1" w:rsidRDefault="00F63260" w:rsidP="003A2D4B">
      <w:pPr>
        <w:pStyle w:val="Heading2"/>
      </w:pPr>
      <w:bookmarkStart w:id="90" w:name="_Toc535495210"/>
      <w:r w:rsidRPr="007713C1">
        <w:t>2</w:t>
      </w:r>
      <w:r w:rsidR="00D93C0A">
        <w:t>7</w:t>
      </w:r>
      <w:r w:rsidR="0094375D">
        <w:t>.1</w:t>
      </w:r>
      <w:r w:rsidRPr="007713C1">
        <w:t>.</w:t>
      </w:r>
      <w:bookmarkStart w:id="91" w:name="_Toc445385630"/>
      <w:bookmarkEnd w:id="89"/>
      <w:r w:rsidR="00F059A2" w:rsidRPr="007713C1">
        <w:t xml:space="preserve">Допълнителни </w:t>
      </w:r>
      <w:r w:rsidR="00B71A31" w:rsidRPr="007713C1">
        <w:t>въпроси и разяснения във връзка с Условията</w:t>
      </w:r>
      <w:r w:rsidR="00F059A2" w:rsidRPr="007713C1">
        <w:t xml:space="preserve"> за кандидатстване</w:t>
      </w:r>
      <w:bookmarkEnd w:id="90"/>
      <w:bookmarkEnd w:id="91"/>
    </w:p>
    <w:tbl>
      <w:tblPr>
        <w:tblStyle w:val="TableGrid"/>
        <w:tblW w:w="0" w:type="auto"/>
        <w:tblLook w:val="04A0" w:firstRow="1" w:lastRow="0" w:firstColumn="1" w:lastColumn="0" w:noHBand="0" w:noVBand="1"/>
      </w:tblPr>
      <w:tblGrid>
        <w:gridCol w:w="9346"/>
      </w:tblGrid>
      <w:tr w:rsidR="00F059A2" w:rsidRPr="007713C1" w14:paraId="6994AB9C" w14:textId="77777777" w:rsidTr="00F059A2">
        <w:tc>
          <w:tcPr>
            <w:tcW w:w="9496" w:type="dxa"/>
          </w:tcPr>
          <w:p w14:paraId="1A16A9CE" w14:textId="409464AB" w:rsidR="00F059A2" w:rsidRPr="00CB2558" w:rsidRDefault="00F059A2" w:rsidP="00B71A31">
            <w:pPr>
              <w:spacing w:before="120" w:after="120"/>
              <w:jc w:val="both"/>
              <w:rPr>
                <w:sz w:val="24"/>
                <w:szCs w:val="24"/>
              </w:rPr>
            </w:pPr>
            <w:bookmarkStart w:id="92" w:name="_Toc172021290"/>
            <w:r w:rsidRPr="007713C1">
              <w:rPr>
                <w:b/>
                <w:sz w:val="24"/>
                <w:szCs w:val="24"/>
              </w:rPr>
              <w:t>На посочения по-долу интернет адрес</w:t>
            </w:r>
            <w:r w:rsidRPr="007713C1">
              <w:rPr>
                <w:sz w:val="24"/>
                <w:szCs w:val="24"/>
              </w:rPr>
              <w:t>, като ясно се посочва номера на поканата за набиране на предложения,</w:t>
            </w:r>
            <w:r w:rsidRPr="007713C1" w:rsidDel="00AD7679">
              <w:rPr>
                <w:sz w:val="24"/>
                <w:szCs w:val="24"/>
              </w:rPr>
              <w:t xml:space="preserve"> </w:t>
            </w:r>
            <w:r w:rsidRPr="007713C1">
              <w:rPr>
                <w:b/>
                <w:sz w:val="24"/>
                <w:szCs w:val="24"/>
              </w:rPr>
              <w:t xml:space="preserve">могат да се задават въпроси и да се искат допълнителни </w:t>
            </w:r>
            <w:r w:rsidRPr="00E44B3C">
              <w:rPr>
                <w:b/>
                <w:sz w:val="24"/>
                <w:szCs w:val="24"/>
              </w:rPr>
              <w:t>разяснения</w:t>
            </w:r>
            <w:r w:rsidRPr="00E44B3C">
              <w:rPr>
                <w:sz w:val="24"/>
                <w:szCs w:val="24"/>
              </w:rPr>
              <w:t xml:space="preserve">, </w:t>
            </w:r>
            <w:r w:rsidR="00B71A31" w:rsidRPr="00E44B3C">
              <w:rPr>
                <w:sz w:val="24"/>
                <w:szCs w:val="24"/>
              </w:rPr>
              <w:t xml:space="preserve">в срок до </w:t>
            </w:r>
            <w:r w:rsidR="00B71A31" w:rsidRPr="00E44B3C">
              <w:rPr>
                <w:i/>
                <w:sz w:val="24"/>
                <w:szCs w:val="24"/>
              </w:rPr>
              <w:t>три седмици преди изтичането на срока за кандидатстване</w:t>
            </w:r>
            <w:bookmarkEnd w:id="92"/>
            <w:r w:rsidR="004C7026" w:rsidRPr="00E44B3C">
              <w:rPr>
                <w:sz w:val="24"/>
                <w:szCs w:val="24"/>
              </w:rPr>
              <w:t xml:space="preserve">: </w:t>
            </w:r>
            <w:r w:rsidR="00CB2558" w:rsidRPr="00CB2558">
              <w:rPr>
                <w:sz w:val="24"/>
                <w:szCs w:val="24"/>
              </w:rPr>
              <w:t>10.05.2022</w:t>
            </w:r>
            <w:r w:rsidR="00D93C0A" w:rsidRPr="00CB2558">
              <w:rPr>
                <w:sz w:val="24"/>
                <w:szCs w:val="24"/>
              </w:rPr>
              <w:t xml:space="preserve"> г.</w:t>
            </w:r>
          </w:p>
          <w:p w14:paraId="727CF549" w14:textId="77777777" w:rsidR="00B0536E" w:rsidRPr="00CB2558" w:rsidRDefault="005F3DFE" w:rsidP="00B71A31">
            <w:pPr>
              <w:spacing w:before="120" w:after="120"/>
              <w:jc w:val="both"/>
              <w:rPr>
                <w:color w:val="0000FF"/>
                <w:sz w:val="24"/>
                <w:szCs w:val="24"/>
                <w:lang w:val="en-US"/>
              </w:rPr>
            </w:pPr>
            <w:hyperlink r:id="rId14" w:history="1">
              <w:r w:rsidR="008378DE" w:rsidRPr="00CB2558">
                <w:rPr>
                  <w:rStyle w:val="Hyperlink"/>
                  <w:sz w:val="24"/>
                  <w:szCs w:val="24"/>
                  <w:lang w:val="en-US"/>
                </w:rPr>
                <w:t>office@mig-pomorie.eu</w:t>
              </w:r>
            </w:hyperlink>
            <w:r w:rsidR="0091748E" w:rsidRPr="00CB2558">
              <w:rPr>
                <w:color w:val="0000FF"/>
              </w:rPr>
              <w:t>.</w:t>
            </w:r>
          </w:p>
          <w:p w14:paraId="3EDAED3A" w14:textId="7796929A" w:rsidR="00F059A2" w:rsidRPr="007713C1" w:rsidRDefault="00F059A2" w:rsidP="00B71A31">
            <w:pPr>
              <w:spacing w:before="120" w:after="120"/>
              <w:jc w:val="both"/>
              <w:rPr>
                <w:bCs/>
                <w:sz w:val="24"/>
                <w:szCs w:val="24"/>
              </w:rPr>
            </w:pPr>
            <w:r w:rsidRPr="00CB2558">
              <w:rPr>
                <w:bCs/>
                <w:sz w:val="24"/>
                <w:szCs w:val="24"/>
              </w:rPr>
              <w:t>Писмени разяс</w:t>
            </w:r>
            <w:r w:rsidR="00B71A31" w:rsidRPr="00CB2558">
              <w:rPr>
                <w:bCs/>
                <w:sz w:val="24"/>
                <w:szCs w:val="24"/>
              </w:rPr>
              <w:t xml:space="preserve">нения ще бъдат дадени в срок до </w:t>
            </w:r>
            <w:r w:rsidR="00B71A31" w:rsidRPr="00CB2558">
              <w:rPr>
                <w:bCs/>
                <w:i/>
                <w:sz w:val="24"/>
                <w:szCs w:val="24"/>
              </w:rPr>
              <w:t>две седмици преди изтичането на срока за кандидатстване</w:t>
            </w:r>
            <w:r w:rsidR="00D93C0A" w:rsidRPr="00CB2558">
              <w:rPr>
                <w:bCs/>
                <w:sz w:val="24"/>
                <w:szCs w:val="24"/>
              </w:rPr>
              <w:t>: 1</w:t>
            </w:r>
            <w:r w:rsidR="00CB2558" w:rsidRPr="00CB2558">
              <w:rPr>
                <w:bCs/>
                <w:sz w:val="24"/>
                <w:szCs w:val="24"/>
              </w:rPr>
              <w:t>7.05.2022</w:t>
            </w:r>
            <w:r w:rsidR="00D93C0A" w:rsidRPr="00CB2558">
              <w:rPr>
                <w:bCs/>
                <w:sz w:val="24"/>
                <w:szCs w:val="24"/>
              </w:rPr>
              <w:t xml:space="preserve"> г.</w:t>
            </w:r>
          </w:p>
          <w:p w14:paraId="6FCB9FB6" w14:textId="77777777" w:rsidR="00F059A2" w:rsidRPr="007713C1" w:rsidRDefault="00F059A2" w:rsidP="00B71A31">
            <w:pPr>
              <w:pStyle w:val="BodyText3"/>
              <w:spacing w:before="120"/>
              <w:jc w:val="both"/>
              <w:rPr>
                <w:sz w:val="24"/>
                <w:szCs w:val="24"/>
              </w:rPr>
            </w:pPr>
            <w:r w:rsidRPr="007713C1">
              <w:rPr>
                <w:sz w:val="24"/>
                <w:szCs w:val="24"/>
              </w:rPr>
              <w:t xml:space="preserve">С оглед осигуряване равнопоставено третиране на кандидатите, </w:t>
            </w:r>
            <w:r w:rsidR="008378DE">
              <w:rPr>
                <w:sz w:val="24"/>
                <w:szCs w:val="24"/>
              </w:rPr>
              <w:t>МИГ</w:t>
            </w:r>
            <w:r w:rsidRPr="007713C1">
              <w:rPr>
                <w:sz w:val="24"/>
                <w:szCs w:val="24"/>
              </w:rPr>
              <w:t xml:space="preserve"> няма да дава разяснения, които съдържат становище относно качеството на конкретно проектно предложение.</w:t>
            </w:r>
            <w:r w:rsidR="00B71A31" w:rsidRPr="007713C1">
              <w:rPr>
                <w:sz w:val="24"/>
                <w:szCs w:val="24"/>
              </w:rPr>
              <w:t xml:space="preserve"> </w:t>
            </w:r>
            <w:r w:rsidR="00B71A31" w:rsidRPr="007713C1">
              <w:rPr>
                <w:color w:val="000000"/>
                <w:sz w:val="24"/>
                <w:szCs w:val="24"/>
              </w:rPr>
              <w:t>Разяснения се дават по отношение на условията за кандидатстване и са задължителни за всички кандидати.</w:t>
            </w:r>
          </w:p>
          <w:p w14:paraId="71BAFA8E" w14:textId="77777777" w:rsidR="00F059A2" w:rsidRPr="007713C1" w:rsidRDefault="00F059A2" w:rsidP="00F059A2">
            <w:pPr>
              <w:pStyle w:val="BodyText3"/>
              <w:spacing w:before="120"/>
              <w:rPr>
                <w:sz w:val="24"/>
                <w:szCs w:val="24"/>
              </w:rPr>
            </w:pPr>
            <w:r w:rsidRPr="007713C1">
              <w:rPr>
                <w:sz w:val="24"/>
                <w:szCs w:val="24"/>
              </w:rPr>
              <w:t>Въпросите и разясненията ще бъдат публикувани на следн</w:t>
            </w:r>
            <w:r w:rsidR="001427F5">
              <w:rPr>
                <w:sz w:val="24"/>
                <w:szCs w:val="24"/>
              </w:rPr>
              <w:t>ата</w:t>
            </w:r>
            <w:r w:rsidRPr="007713C1">
              <w:rPr>
                <w:sz w:val="24"/>
                <w:szCs w:val="24"/>
              </w:rPr>
              <w:t xml:space="preserve"> интернет-страниц</w:t>
            </w:r>
            <w:r w:rsidR="001427F5">
              <w:rPr>
                <w:sz w:val="24"/>
                <w:szCs w:val="24"/>
              </w:rPr>
              <w:t>а</w:t>
            </w:r>
            <w:r w:rsidRPr="007713C1">
              <w:rPr>
                <w:sz w:val="24"/>
                <w:szCs w:val="24"/>
              </w:rPr>
              <w:t>:</w:t>
            </w:r>
          </w:p>
          <w:p w14:paraId="2D2B1A17" w14:textId="77777777" w:rsidR="00F059A2" w:rsidRPr="008378DE" w:rsidRDefault="005F3DFE" w:rsidP="008378DE">
            <w:pPr>
              <w:spacing w:before="120" w:after="120"/>
              <w:jc w:val="both"/>
              <w:rPr>
                <w:color w:val="0000FF"/>
                <w:sz w:val="24"/>
                <w:szCs w:val="24"/>
                <w:lang w:val="en-US"/>
              </w:rPr>
            </w:pPr>
            <w:hyperlink r:id="rId15" w:history="1">
              <w:r w:rsidR="001427F5" w:rsidRPr="004F1FBA">
                <w:rPr>
                  <w:rStyle w:val="Hyperlink"/>
                  <w:sz w:val="24"/>
                  <w:szCs w:val="24"/>
                </w:rPr>
                <w:t>http://mig-pomorie.eu/</w:t>
              </w:r>
            </w:hyperlink>
            <w:r w:rsidR="008378DE">
              <w:rPr>
                <w:color w:val="0000FF"/>
                <w:sz w:val="24"/>
                <w:szCs w:val="24"/>
              </w:rPr>
              <w:t xml:space="preserve"> </w:t>
            </w:r>
            <w:r w:rsidR="00F059A2" w:rsidRPr="00A129AF">
              <w:rPr>
                <w:sz w:val="24"/>
                <w:szCs w:val="24"/>
              </w:rPr>
              <w:t>към документите по процедурата</w:t>
            </w:r>
            <w:r w:rsidR="001427F5">
              <w:rPr>
                <w:sz w:val="24"/>
                <w:szCs w:val="24"/>
              </w:rPr>
              <w:t>.</w:t>
            </w:r>
          </w:p>
        </w:tc>
      </w:tr>
    </w:tbl>
    <w:p w14:paraId="078875EA" w14:textId="700357BA" w:rsidR="004E418C" w:rsidRPr="007713C1" w:rsidRDefault="00E40B3E" w:rsidP="004E418C">
      <w:pPr>
        <w:pStyle w:val="Heading2"/>
      </w:pPr>
      <w:bookmarkStart w:id="93" w:name="_Toc535495211"/>
      <w:bookmarkStart w:id="94" w:name="_Toc445385631"/>
      <w:r>
        <w:t>2</w:t>
      </w:r>
      <w:r w:rsidR="00D93C0A">
        <w:t>7</w:t>
      </w:r>
      <w:r w:rsidR="004E418C" w:rsidRPr="007713C1">
        <w:t>.</w:t>
      </w:r>
      <w:r w:rsidR="00CD0512">
        <w:t>2</w:t>
      </w:r>
      <w:r>
        <w:t>.</w:t>
      </w:r>
      <w:r w:rsidR="004E418C" w:rsidRPr="007713C1">
        <w:t xml:space="preserve"> </w:t>
      </w:r>
      <w:r w:rsidR="004E418C">
        <w:t>Уведомяване относно предварителното решение на МИГ</w:t>
      </w:r>
      <w:bookmarkEnd w:id="93"/>
    </w:p>
    <w:tbl>
      <w:tblPr>
        <w:tblStyle w:val="TableGrid"/>
        <w:tblW w:w="0" w:type="auto"/>
        <w:tblLook w:val="04A0" w:firstRow="1" w:lastRow="0" w:firstColumn="1" w:lastColumn="0" w:noHBand="0" w:noVBand="1"/>
      </w:tblPr>
      <w:tblGrid>
        <w:gridCol w:w="9346"/>
      </w:tblGrid>
      <w:tr w:rsidR="004E418C" w:rsidRPr="007713C1" w14:paraId="03F4504B" w14:textId="77777777" w:rsidTr="00BC5595">
        <w:tc>
          <w:tcPr>
            <w:tcW w:w="9496" w:type="dxa"/>
          </w:tcPr>
          <w:p w14:paraId="19203740" w14:textId="77777777" w:rsidR="004E418C" w:rsidRPr="00836CD3" w:rsidRDefault="00836CD3" w:rsidP="009D2FBF">
            <w:pPr>
              <w:jc w:val="both"/>
              <w:rPr>
                <w:sz w:val="24"/>
                <w:szCs w:val="24"/>
              </w:rPr>
            </w:pPr>
            <w:r w:rsidRPr="00836CD3">
              <w:rPr>
                <w:sz w:val="24"/>
                <w:szCs w:val="24"/>
              </w:rPr>
              <w:t xml:space="preserve">В срок </w:t>
            </w:r>
            <w:r w:rsidRPr="005C242A">
              <w:rPr>
                <w:sz w:val="24"/>
                <w:szCs w:val="24"/>
              </w:rPr>
              <w:t xml:space="preserve">до </w:t>
            </w:r>
            <w:r w:rsidR="00111693" w:rsidRPr="00894525">
              <w:rPr>
                <w:sz w:val="24"/>
                <w:szCs w:val="24"/>
              </w:rPr>
              <w:t>5</w:t>
            </w:r>
            <w:r w:rsidRPr="005C242A">
              <w:rPr>
                <w:sz w:val="24"/>
                <w:szCs w:val="24"/>
              </w:rPr>
              <w:t xml:space="preserve"> работни</w:t>
            </w:r>
            <w:r w:rsidRPr="00836CD3">
              <w:rPr>
                <w:sz w:val="24"/>
                <w:szCs w:val="24"/>
              </w:rPr>
              <w:t xml:space="preserve"> дни от одобрение на оценителния доклад  от председателя на УС на МИГ, МИГ изпраща уведомително писмо на всеки кандидат за предварително одобряване или отхвърляне на заявлението, с мотивите за отказ. Писмото се изпраща до кандидата с обратна разписка или се получава лично от него в офиса на МИГ, което се удостоверява с подпис.</w:t>
            </w:r>
          </w:p>
        </w:tc>
      </w:tr>
    </w:tbl>
    <w:p w14:paraId="4EB91002" w14:textId="5D9E882D" w:rsidR="00F059A2" w:rsidRPr="007713C1" w:rsidRDefault="00E40B3E" w:rsidP="003A2D4B">
      <w:pPr>
        <w:pStyle w:val="Heading2"/>
      </w:pPr>
      <w:bookmarkStart w:id="95" w:name="_Toc535495212"/>
      <w:r>
        <w:t>2</w:t>
      </w:r>
      <w:r w:rsidR="00D93C0A">
        <w:t>7</w:t>
      </w:r>
      <w:r w:rsidR="00CD0512">
        <w:t>.3</w:t>
      </w:r>
      <w:r w:rsidR="00D67E90" w:rsidRPr="007713C1">
        <w:t xml:space="preserve">. </w:t>
      </w:r>
      <w:r w:rsidR="00325CC3" w:rsidRPr="007713C1">
        <w:t>Процедура за възражения относно оценката</w:t>
      </w:r>
      <w:bookmarkEnd w:id="94"/>
      <w:bookmarkEnd w:id="95"/>
    </w:p>
    <w:tbl>
      <w:tblPr>
        <w:tblStyle w:val="TableGrid"/>
        <w:tblW w:w="0" w:type="auto"/>
        <w:tblLook w:val="04A0" w:firstRow="1" w:lastRow="0" w:firstColumn="1" w:lastColumn="0" w:noHBand="0" w:noVBand="1"/>
      </w:tblPr>
      <w:tblGrid>
        <w:gridCol w:w="9346"/>
      </w:tblGrid>
      <w:tr w:rsidR="00D67E90" w:rsidRPr="007713C1" w14:paraId="4364CD30" w14:textId="77777777" w:rsidTr="00D67E90">
        <w:tc>
          <w:tcPr>
            <w:tcW w:w="9496" w:type="dxa"/>
          </w:tcPr>
          <w:p w14:paraId="2CA7F07F" w14:textId="3DF22983" w:rsidR="009D2FBF" w:rsidRPr="009D2FBF" w:rsidRDefault="009D2FBF" w:rsidP="009D2FBF">
            <w:pPr>
              <w:jc w:val="both"/>
              <w:rPr>
                <w:sz w:val="24"/>
                <w:szCs w:val="24"/>
              </w:rPr>
            </w:pPr>
            <w:r w:rsidRPr="009D2FBF">
              <w:rPr>
                <w:sz w:val="24"/>
                <w:szCs w:val="24"/>
              </w:rPr>
              <w:t xml:space="preserve">Всеки кандидат, получил уведомително писмо от МИГ, че проектното му предложение не е одобрено или че е частично одобрено, има право да възрази пред </w:t>
            </w:r>
            <w:r w:rsidR="00E14E53">
              <w:rPr>
                <w:sz w:val="24"/>
                <w:szCs w:val="24"/>
              </w:rPr>
              <w:t>Държавен фонд “Земеделие”</w:t>
            </w:r>
            <w:r w:rsidRPr="009D2FBF">
              <w:rPr>
                <w:sz w:val="24"/>
                <w:szCs w:val="24"/>
              </w:rPr>
              <w:t xml:space="preserve"> в срок до 3 работни дни от датата на получаването на уведомлението.</w:t>
            </w:r>
          </w:p>
          <w:p w14:paraId="41C214D3" w14:textId="0E2F4F46" w:rsidR="009D2FBF" w:rsidRPr="009D2FBF" w:rsidRDefault="009D2FBF" w:rsidP="009D2FBF">
            <w:pPr>
              <w:jc w:val="both"/>
              <w:rPr>
                <w:sz w:val="24"/>
                <w:szCs w:val="24"/>
              </w:rPr>
            </w:pPr>
            <w:r w:rsidRPr="009D2FBF">
              <w:rPr>
                <w:sz w:val="24"/>
                <w:szCs w:val="24"/>
              </w:rPr>
              <w:t>Р</w:t>
            </w:r>
            <w:r>
              <w:rPr>
                <w:sz w:val="24"/>
                <w:szCs w:val="24"/>
              </w:rPr>
              <w:t xml:space="preserve">ъководителят на </w:t>
            </w:r>
            <w:r w:rsidR="006E6FB8">
              <w:rPr>
                <w:sz w:val="24"/>
                <w:szCs w:val="24"/>
              </w:rPr>
              <w:t>ДФЗ</w:t>
            </w:r>
            <w:r w:rsidR="006E6FB8" w:rsidRPr="009D2FBF">
              <w:rPr>
                <w:sz w:val="24"/>
                <w:szCs w:val="24"/>
              </w:rPr>
              <w:t xml:space="preserve"> </w:t>
            </w:r>
            <w:r w:rsidRPr="009D2FBF">
              <w:rPr>
                <w:sz w:val="24"/>
                <w:szCs w:val="24"/>
              </w:rPr>
              <w:t>се произнася по основателността на възражението в срок до 10 работни дни</w:t>
            </w:r>
            <w:r>
              <w:rPr>
                <w:sz w:val="24"/>
                <w:szCs w:val="24"/>
              </w:rPr>
              <w:t xml:space="preserve"> </w:t>
            </w:r>
            <w:r w:rsidRPr="009D2FBF">
              <w:rPr>
                <w:sz w:val="24"/>
                <w:szCs w:val="24"/>
              </w:rPr>
              <w:t>от неговото получаване, като:</w:t>
            </w:r>
          </w:p>
          <w:p w14:paraId="4DA5B094" w14:textId="77777777" w:rsidR="009D2FBF" w:rsidRPr="009D2FBF" w:rsidRDefault="009D2FBF" w:rsidP="009D2FBF">
            <w:pPr>
              <w:jc w:val="both"/>
              <w:rPr>
                <w:sz w:val="24"/>
                <w:szCs w:val="24"/>
              </w:rPr>
            </w:pPr>
            <w:r w:rsidRPr="009D2FBF">
              <w:rPr>
                <w:sz w:val="24"/>
                <w:szCs w:val="24"/>
              </w:rPr>
              <w:t>1. връща проектното предложение за повторно извършване на процедурата по оценка;</w:t>
            </w:r>
          </w:p>
          <w:p w14:paraId="6873F402" w14:textId="77777777" w:rsidR="003B2B99" w:rsidRPr="00A129AF" w:rsidRDefault="009D2FBF" w:rsidP="003F5861">
            <w:pPr>
              <w:jc w:val="both"/>
              <w:rPr>
                <w:szCs w:val="24"/>
              </w:rPr>
            </w:pPr>
            <w:r w:rsidRPr="009D2FBF">
              <w:rPr>
                <w:sz w:val="24"/>
                <w:szCs w:val="24"/>
              </w:rPr>
              <w:lastRenderedPageBreak/>
              <w:t>2. потвърждава предварителното решение на МИГ.</w:t>
            </w:r>
          </w:p>
        </w:tc>
      </w:tr>
    </w:tbl>
    <w:p w14:paraId="0E6DEB67" w14:textId="67595944" w:rsidR="00DD3143" w:rsidRPr="007713C1" w:rsidRDefault="00E40B3E" w:rsidP="002759EB">
      <w:pPr>
        <w:pStyle w:val="Heading1"/>
      </w:pPr>
      <w:bookmarkStart w:id="96" w:name="_Toc445385635"/>
      <w:bookmarkStart w:id="97" w:name="_Toc535495213"/>
      <w:r>
        <w:lastRenderedPageBreak/>
        <w:t>2</w:t>
      </w:r>
      <w:r w:rsidR="002759EB">
        <w:t>8</w:t>
      </w:r>
      <w:r w:rsidR="00D67E90" w:rsidRPr="007713C1">
        <w:t xml:space="preserve">. Приложения към Условията за </w:t>
      </w:r>
      <w:r w:rsidR="007F4984">
        <w:t>кандидатстване</w:t>
      </w:r>
      <w:r w:rsidR="00D67E90" w:rsidRPr="007713C1">
        <w:t>:</w:t>
      </w:r>
      <w:bookmarkEnd w:id="96"/>
      <w:bookmarkEnd w:id="97"/>
    </w:p>
    <w:tbl>
      <w:tblPr>
        <w:tblStyle w:val="TableGrid"/>
        <w:tblW w:w="0" w:type="auto"/>
        <w:tblLook w:val="04A0" w:firstRow="1" w:lastRow="0" w:firstColumn="1" w:lastColumn="0" w:noHBand="0" w:noVBand="1"/>
      </w:tblPr>
      <w:tblGrid>
        <w:gridCol w:w="9346"/>
      </w:tblGrid>
      <w:tr w:rsidR="00DD3143" w:rsidRPr="007713C1" w14:paraId="5063632E" w14:textId="77777777" w:rsidTr="000B0A5C">
        <w:tc>
          <w:tcPr>
            <w:tcW w:w="9495" w:type="dxa"/>
          </w:tcPr>
          <w:p w14:paraId="0C0B874C" w14:textId="177D901B" w:rsidR="000659C7" w:rsidRDefault="000659C7" w:rsidP="000659C7">
            <w:pPr>
              <w:autoSpaceDE w:val="0"/>
              <w:autoSpaceDN w:val="0"/>
              <w:adjustRightInd w:val="0"/>
              <w:spacing w:before="120" w:after="120"/>
              <w:jc w:val="both"/>
              <w:rPr>
                <w:b/>
                <w:bCs/>
                <w:color w:val="000000"/>
                <w:sz w:val="24"/>
                <w:szCs w:val="24"/>
              </w:rPr>
            </w:pPr>
            <w:bookmarkStart w:id="98" w:name="_Toc40507658"/>
            <w:r>
              <w:rPr>
                <w:b/>
                <w:bCs/>
                <w:color w:val="000000"/>
                <w:sz w:val="24"/>
                <w:szCs w:val="24"/>
              </w:rPr>
              <w:t>ЗА ПОПЪЛВАНЕ:</w:t>
            </w:r>
          </w:p>
          <w:p w14:paraId="424B0097" w14:textId="64A7D3A4" w:rsidR="001A2234" w:rsidRDefault="001A2234" w:rsidP="00CF7F8E">
            <w:pPr>
              <w:spacing w:after="200"/>
              <w:jc w:val="both"/>
              <w:rPr>
                <w:rFonts w:eastAsia="Calibri"/>
                <w:sz w:val="24"/>
                <w:szCs w:val="24"/>
              </w:rPr>
            </w:pPr>
            <w:r w:rsidRPr="001A2234">
              <w:rPr>
                <w:rFonts w:eastAsia="Calibri"/>
                <w:sz w:val="24"/>
                <w:szCs w:val="24"/>
              </w:rPr>
              <w:t>Приложение № 1</w:t>
            </w:r>
            <w:r w:rsidR="00CF7F8E">
              <w:rPr>
                <w:rFonts w:eastAsia="Calibri"/>
                <w:sz w:val="24"/>
                <w:szCs w:val="24"/>
              </w:rPr>
              <w:t>А: Бизнес план (</w:t>
            </w:r>
            <w:r w:rsidR="00CF7F8E">
              <w:rPr>
                <w:rFonts w:eastAsia="Calibri"/>
                <w:sz w:val="24"/>
                <w:szCs w:val="24"/>
                <w:lang w:val="en-US"/>
              </w:rPr>
              <w:t>word</w:t>
            </w:r>
            <w:r w:rsidR="00CF7F8E">
              <w:rPr>
                <w:rFonts w:eastAsia="Calibri"/>
                <w:sz w:val="24"/>
                <w:szCs w:val="24"/>
              </w:rPr>
              <w:t>)</w:t>
            </w:r>
          </w:p>
          <w:p w14:paraId="6D999112" w14:textId="665A25E5" w:rsidR="00CF7F8E" w:rsidRPr="00CF7F8E" w:rsidRDefault="00CF7F8E" w:rsidP="00CF7F8E">
            <w:pPr>
              <w:spacing w:after="200"/>
              <w:jc w:val="both"/>
              <w:rPr>
                <w:rFonts w:eastAsia="Calibri"/>
                <w:sz w:val="24"/>
                <w:szCs w:val="24"/>
              </w:rPr>
            </w:pPr>
            <w:r w:rsidRPr="00CF7F8E">
              <w:rPr>
                <w:rFonts w:eastAsia="Calibri"/>
                <w:sz w:val="24"/>
                <w:szCs w:val="24"/>
                <w:lang w:val="en-US"/>
              </w:rPr>
              <w:t>Приложение № 1</w:t>
            </w:r>
            <w:r>
              <w:rPr>
                <w:rFonts w:eastAsia="Calibri"/>
                <w:sz w:val="24"/>
                <w:szCs w:val="24"/>
              </w:rPr>
              <w:t>Б</w:t>
            </w:r>
            <w:r>
              <w:rPr>
                <w:rFonts w:eastAsia="Calibri"/>
                <w:sz w:val="24"/>
                <w:szCs w:val="24"/>
                <w:lang w:val="en-US"/>
              </w:rPr>
              <w:t xml:space="preserve">: Бизнес план </w:t>
            </w:r>
            <w:r>
              <w:rPr>
                <w:rFonts w:eastAsia="Calibri"/>
                <w:sz w:val="24"/>
                <w:szCs w:val="24"/>
              </w:rPr>
              <w:t>(excel);</w:t>
            </w:r>
          </w:p>
          <w:p w14:paraId="26ED11A2" w14:textId="3285370A" w:rsidR="001A2234" w:rsidRPr="00CF7F8E" w:rsidRDefault="001A2234" w:rsidP="00CF7F8E">
            <w:pPr>
              <w:spacing w:after="200"/>
              <w:jc w:val="both"/>
              <w:rPr>
                <w:rFonts w:eastAsia="Calibri"/>
                <w:sz w:val="24"/>
                <w:szCs w:val="24"/>
                <w:lang w:val="en-US"/>
              </w:rPr>
            </w:pPr>
            <w:r w:rsidRPr="001A2234">
              <w:rPr>
                <w:rFonts w:eastAsia="Calibri"/>
                <w:sz w:val="24"/>
                <w:szCs w:val="24"/>
              </w:rPr>
              <w:t xml:space="preserve">Приложение № </w:t>
            </w:r>
            <w:r w:rsidR="00B31FB8">
              <w:rPr>
                <w:rFonts w:eastAsia="Calibri"/>
                <w:sz w:val="24"/>
                <w:szCs w:val="24"/>
              </w:rPr>
              <w:t>2</w:t>
            </w:r>
            <w:r w:rsidRPr="001A2234">
              <w:rPr>
                <w:rFonts w:eastAsia="Calibri"/>
                <w:sz w:val="24"/>
                <w:szCs w:val="24"/>
              </w:rPr>
              <w:t xml:space="preserve">: </w:t>
            </w:r>
            <w:r w:rsidR="00CF7F8E" w:rsidRPr="00CF7F8E">
              <w:rPr>
                <w:rFonts w:eastAsia="Calibri"/>
                <w:sz w:val="24"/>
                <w:szCs w:val="24"/>
              </w:rPr>
              <w:t>Таблица за допустими инвестиции и дейности</w:t>
            </w:r>
            <w:r w:rsidR="00CF7F8E">
              <w:rPr>
                <w:rFonts w:eastAsia="Calibri"/>
                <w:sz w:val="24"/>
                <w:szCs w:val="24"/>
                <w:lang w:val="en-US"/>
              </w:rPr>
              <w:t>;</w:t>
            </w:r>
          </w:p>
          <w:p w14:paraId="6FCA29B9" w14:textId="62A6C29F" w:rsidR="001A2234" w:rsidRPr="00CF7F8E" w:rsidRDefault="001A2234" w:rsidP="00CF7F8E">
            <w:pPr>
              <w:spacing w:after="200"/>
              <w:jc w:val="both"/>
              <w:rPr>
                <w:sz w:val="24"/>
                <w:szCs w:val="24"/>
                <w:shd w:val="clear" w:color="auto" w:fill="FEFEFE"/>
                <w:lang w:val="en-US"/>
              </w:rPr>
            </w:pPr>
            <w:r w:rsidRPr="001A2234">
              <w:rPr>
                <w:rFonts w:eastAsia="Calibri"/>
                <w:sz w:val="24"/>
                <w:szCs w:val="24"/>
              </w:rPr>
              <w:t xml:space="preserve">Приложение № </w:t>
            </w:r>
            <w:r w:rsidR="00B31FB8">
              <w:rPr>
                <w:rFonts w:eastAsia="Calibri"/>
                <w:sz w:val="24"/>
                <w:szCs w:val="24"/>
              </w:rPr>
              <w:t>3</w:t>
            </w:r>
            <w:r w:rsidR="00CF7F8E">
              <w:rPr>
                <w:rFonts w:eastAsia="Calibri"/>
                <w:sz w:val="24"/>
                <w:szCs w:val="24"/>
              </w:rPr>
              <w:t>:</w:t>
            </w:r>
            <w:r w:rsidR="00CF7F8E">
              <w:t xml:space="preserve"> </w:t>
            </w:r>
            <w:r w:rsidR="00CF7F8E">
              <w:rPr>
                <w:rFonts w:eastAsia="Calibri"/>
                <w:sz w:val="24"/>
                <w:szCs w:val="24"/>
              </w:rPr>
              <w:t xml:space="preserve">Образец на запитване за </w:t>
            </w:r>
            <w:r w:rsidR="00CF7F8E" w:rsidRPr="00CF7F8E">
              <w:rPr>
                <w:rFonts w:eastAsia="Calibri"/>
                <w:sz w:val="24"/>
                <w:szCs w:val="24"/>
              </w:rPr>
              <w:t>оферта</w:t>
            </w:r>
            <w:r w:rsidR="00CF7F8E">
              <w:rPr>
                <w:rFonts w:eastAsia="Calibri"/>
                <w:sz w:val="24"/>
                <w:szCs w:val="24"/>
                <w:lang w:val="en-US"/>
              </w:rPr>
              <w:t>;</w:t>
            </w:r>
          </w:p>
          <w:p w14:paraId="19F5DA2F" w14:textId="192C8C44" w:rsidR="00B31FB8" w:rsidRPr="00CF7F8E" w:rsidRDefault="001A2234" w:rsidP="00CF7F8E">
            <w:pPr>
              <w:spacing w:after="200"/>
              <w:jc w:val="both"/>
              <w:rPr>
                <w:rFonts w:eastAsia="Calibri"/>
                <w:sz w:val="24"/>
                <w:szCs w:val="24"/>
                <w:lang w:val="en-US"/>
              </w:rPr>
            </w:pPr>
            <w:r w:rsidRPr="001A2234">
              <w:rPr>
                <w:rFonts w:eastAsia="Calibri"/>
                <w:sz w:val="24"/>
                <w:szCs w:val="24"/>
              </w:rPr>
              <w:t xml:space="preserve">Приложение № </w:t>
            </w:r>
            <w:r w:rsidR="00B31FB8">
              <w:rPr>
                <w:rFonts w:eastAsia="Calibri"/>
                <w:sz w:val="24"/>
                <w:szCs w:val="24"/>
              </w:rPr>
              <w:t>4</w:t>
            </w:r>
            <w:r w:rsidRPr="001A2234">
              <w:rPr>
                <w:rFonts w:eastAsia="Calibri"/>
                <w:sz w:val="24"/>
                <w:szCs w:val="24"/>
              </w:rPr>
              <w:t>:</w:t>
            </w:r>
            <w:r w:rsidR="002D1BB3">
              <w:rPr>
                <w:rFonts w:eastAsia="Calibri"/>
                <w:sz w:val="24"/>
                <w:szCs w:val="24"/>
              </w:rPr>
              <w:t xml:space="preserve"> </w:t>
            </w:r>
            <w:r w:rsidR="00CF7F8E">
              <w:rPr>
                <w:rFonts w:eastAsia="Calibri"/>
                <w:sz w:val="24"/>
                <w:szCs w:val="24"/>
              </w:rPr>
              <w:t xml:space="preserve">Формуляр за </w:t>
            </w:r>
            <w:r w:rsidR="00CF7F8E" w:rsidRPr="00CF7F8E">
              <w:rPr>
                <w:rFonts w:eastAsia="Calibri"/>
                <w:sz w:val="24"/>
                <w:szCs w:val="24"/>
              </w:rPr>
              <w:t>мониторинг</w:t>
            </w:r>
            <w:r w:rsidR="00CF7F8E">
              <w:rPr>
                <w:rFonts w:eastAsia="Calibri"/>
                <w:sz w:val="24"/>
                <w:szCs w:val="24"/>
                <w:lang w:val="en-US"/>
              </w:rPr>
              <w:t>;</w:t>
            </w:r>
          </w:p>
          <w:p w14:paraId="5E15CA4E" w14:textId="15DDA8D3" w:rsidR="009054A2" w:rsidRPr="0060747E" w:rsidRDefault="00B31FB8" w:rsidP="00CF7F8E">
            <w:pPr>
              <w:spacing w:after="200"/>
              <w:rPr>
                <w:rFonts w:eastAsia="Calibri"/>
                <w:sz w:val="24"/>
                <w:szCs w:val="24"/>
              </w:rPr>
            </w:pPr>
            <w:r>
              <w:rPr>
                <w:rFonts w:eastAsia="Calibri"/>
                <w:sz w:val="24"/>
                <w:szCs w:val="24"/>
              </w:rPr>
              <w:t>Приложение № 5</w:t>
            </w:r>
            <w:r w:rsidR="001A2234" w:rsidRPr="001A2234">
              <w:rPr>
                <w:rFonts w:eastAsia="Calibri"/>
                <w:sz w:val="24"/>
                <w:szCs w:val="24"/>
              </w:rPr>
              <w:t xml:space="preserve">: </w:t>
            </w:r>
            <w:r w:rsidR="009054A2" w:rsidRPr="009054A2">
              <w:rPr>
                <w:rFonts w:eastAsia="Calibri"/>
                <w:sz w:val="24"/>
                <w:szCs w:val="24"/>
              </w:rPr>
              <w:t xml:space="preserve">Декларация за </w:t>
            </w:r>
            <w:bookmarkEnd w:id="98"/>
            <w:r w:rsidR="0060747E">
              <w:rPr>
                <w:rFonts w:eastAsia="Calibri"/>
                <w:sz w:val="24"/>
                <w:szCs w:val="24"/>
              </w:rPr>
              <w:t>нередности;</w:t>
            </w:r>
          </w:p>
          <w:p w14:paraId="6F5AD344" w14:textId="4E9DFA91" w:rsidR="00CF7F8E" w:rsidRDefault="00B31FB8" w:rsidP="009054A2">
            <w:pPr>
              <w:spacing w:after="200"/>
              <w:rPr>
                <w:rFonts w:eastAsia="Calibri"/>
                <w:sz w:val="24"/>
                <w:szCs w:val="24"/>
              </w:rPr>
            </w:pPr>
            <w:r>
              <w:rPr>
                <w:rFonts w:eastAsia="Calibri"/>
                <w:sz w:val="24"/>
                <w:szCs w:val="24"/>
              </w:rPr>
              <w:t>Приложение № 6</w:t>
            </w:r>
            <w:r w:rsidR="00E3600C">
              <w:rPr>
                <w:rFonts w:eastAsia="Calibri"/>
                <w:sz w:val="24"/>
                <w:szCs w:val="24"/>
              </w:rPr>
              <w:t xml:space="preserve">: </w:t>
            </w:r>
            <w:r w:rsidR="0060747E">
              <w:rPr>
                <w:rFonts w:eastAsia="Calibri"/>
                <w:sz w:val="24"/>
                <w:szCs w:val="24"/>
              </w:rPr>
              <w:t>Декларация за малки и средни предприятия;</w:t>
            </w:r>
          </w:p>
          <w:p w14:paraId="66D2582A" w14:textId="762F5CC0" w:rsidR="00CF7F8E" w:rsidRDefault="009054A2" w:rsidP="00CF7F8E">
            <w:pPr>
              <w:tabs>
                <w:tab w:val="left" w:pos="1800"/>
              </w:tabs>
              <w:spacing w:before="120" w:after="120"/>
              <w:jc w:val="both"/>
              <w:rPr>
                <w:rFonts w:eastAsia="Calibri"/>
                <w:sz w:val="24"/>
                <w:szCs w:val="24"/>
              </w:rPr>
            </w:pPr>
            <w:r>
              <w:rPr>
                <w:rFonts w:eastAsia="Calibri"/>
                <w:sz w:val="24"/>
                <w:szCs w:val="24"/>
              </w:rPr>
              <w:t>Приложение № 7</w:t>
            </w:r>
            <w:r w:rsidR="00CF7F8E">
              <w:rPr>
                <w:rFonts w:eastAsia="Calibri"/>
                <w:sz w:val="24"/>
                <w:szCs w:val="24"/>
              </w:rPr>
              <w:t>:</w:t>
            </w:r>
            <w:r w:rsidR="00CF7F8E">
              <w:t xml:space="preserve"> </w:t>
            </w:r>
            <w:r w:rsidR="0060747E" w:rsidRPr="0060747E">
              <w:rPr>
                <w:rFonts w:eastAsia="Calibri"/>
                <w:sz w:val="24"/>
                <w:szCs w:val="24"/>
              </w:rPr>
              <w:t>Декларация за липса на основания за отстраняване</w:t>
            </w:r>
            <w:r w:rsidR="0060747E">
              <w:rPr>
                <w:rFonts w:eastAsia="Calibri"/>
                <w:sz w:val="24"/>
                <w:szCs w:val="24"/>
              </w:rPr>
              <w:t>;</w:t>
            </w:r>
          </w:p>
          <w:p w14:paraId="10A7D393" w14:textId="2717E28B" w:rsidR="00CF43D6" w:rsidRDefault="009054A2" w:rsidP="00CF43D6">
            <w:pPr>
              <w:tabs>
                <w:tab w:val="left" w:pos="1800"/>
              </w:tabs>
              <w:spacing w:before="120" w:after="120"/>
              <w:jc w:val="both"/>
              <w:rPr>
                <w:rFonts w:eastAsia="Calibri"/>
                <w:sz w:val="24"/>
                <w:szCs w:val="24"/>
              </w:rPr>
            </w:pPr>
            <w:r>
              <w:rPr>
                <w:rFonts w:eastAsia="Calibri"/>
                <w:sz w:val="24"/>
                <w:szCs w:val="24"/>
              </w:rPr>
              <w:t>Приложение № 8</w:t>
            </w:r>
            <w:r w:rsidR="00CF43D6">
              <w:rPr>
                <w:rFonts w:eastAsia="Calibri"/>
                <w:sz w:val="24"/>
                <w:szCs w:val="24"/>
              </w:rPr>
              <w:t xml:space="preserve">: </w:t>
            </w:r>
            <w:r w:rsidR="0060747E" w:rsidRPr="0060747E">
              <w:rPr>
                <w:rFonts w:eastAsia="Calibri"/>
                <w:sz w:val="24"/>
                <w:szCs w:val="24"/>
              </w:rPr>
              <w:t>Декларация за съгласие за предоставяне на данни от НСИ на УО</w:t>
            </w:r>
            <w:r w:rsidR="0060747E">
              <w:rPr>
                <w:rFonts w:eastAsia="Calibri"/>
                <w:sz w:val="24"/>
                <w:szCs w:val="24"/>
              </w:rPr>
              <w:t>;</w:t>
            </w:r>
          </w:p>
          <w:p w14:paraId="08FC5E94" w14:textId="7F4CA588" w:rsidR="00CF43D6" w:rsidRDefault="009054A2" w:rsidP="00CF43D6">
            <w:pPr>
              <w:tabs>
                <w:tab w:val="left" w:pos="1800"/>
              </w:tabs>
              <w:spacing w:before="120" w:after="120"/>
              <w:jc w:val="both"/>
              <w:rPr>
                <w:rFonts w:eastAsia="Calibri"/>
                <w:sz w:val="24"/>
                <w:szCs w:val="24"/>
              </w:rPr>
            </w:pPr>
            <w:r>
              <w:rPr>
                <w:rFonts w:eastAsia="Calibri"/>
                <w:sz w:val="24"/>
                <w:szCs w:val="24"/>
              </w:rPr>
              <w:t>Приложение № 9</w:t>
            </w:r>
            <w:r w:rsidR="00CF43D6">
              <w:rPr>
                <w:rFonts w:eastAsia="Calibri"/>
                <w:sz w:val="24"/>
                <w:szCs w:val="24"/>
              </w:rPr>
              <w:t xml:space="preserve">: </w:t>
            </w:r>
            <w:r w:rsidR="0060747E" w:rsidRPr="0060747E">
              <w:rPr>
                <w:rFonts w:eastAsia="Calibri"/>
                <w:sz w:val="24"/>
                <w:szCs w:val="24"/>
              </w:rPr>
              <w:t>Декларация за свързаност  съгласно Заповед № 09-647 от 03.07.2019 г. на Ръководителя на УО на ПРСР</w:t>
            </w:r>
            <w:r w:rsidR="0060747E">
              <w:rPr>
                <w:rFonts w:eastAsia="Calibri"/>
                <w:sz w:val="24"/>
                <w:szCs w:val="24"/>
              </w:rPr>
              <w:t>;</w:t>
            </w:r>
          </w:p>
          <w:p w14:paraId="2025752D" w14:textId="66F41D60" w:rsidR="00CF43D6" w:rsidRDefault="009054A2" w:rsidP="00CF43D6">
            <w:pPr>
              <w:tabs>
                <w:tab w:val="left" w:pos="1800"/>
              </w:tabs>
              <w:spacing w:before="120" w:after="120"/>
              <w:jc w:val="both"/>
              <w:rPr>
                <w:rFonts w:eastAsia="Calibri"/>
                <w:sz w:val="24"/>
                <w:szCs w:val="24"/>
              </w:rPr>
            </w:pPr>
            <w:r>
              <w:rPr>
                <w:rFonts w:eastAsia="Calibri"/>
                <w:sz w:val="24"/>
                <w:szCs w:val="24"/>
              </w:rPr>
              <w:t>Приложение № 10</w:t>
            </w:r>
            <w:r w:rsidR="00CF43D6">
              <w:rPr>
                <w:rFonts w:eastAsia="Calibri"/>
                <w:sz w:val="24"/>
                <w:szCs w:val="24"/>
              </w:rPr>
              <w:t xml:space="preserve">: </w:t>
            </w:r>
            <w:r w:rsidR="0060747E" w:rsidRPr="0060747E">
              <w:rPr>
                <w:rFonts w:eastAsia="Calibri"/>
                <w:sz w:val="24"/>
                <w:szCs w:val="24"/>
              </w:rPr>
              <w:t>Декларация за липса или наличие на двойно финансиране</w:t>
            </w:r>
            <w:r w:rsidR="0060747E">
              <w:rPr>
                <w:rFonts w:eastAsia="Calibri"/>
                <w:sz w:val="24"/>
                <w:szCs w:val="24"/>
              </w:rPr>
              <w:t>;</w:t>
            </w:r>
          </w:p>
          <w:p w14:paraId="3E17DD3E" w14:textId="56152533" w:rsidR="0060747E" w:rsidRDefault="0060747E" w:rsidP="00CF43D6">
            <w:pPr>
              <w:tabs>
                <w:tab w:val="left" w:pos="1800"/>
              </w:tabs>
              <w:spacing w:before="120" w:after="120"/>
              <w:jc w:val="both"/>
              <w:rPr>
                <w:rFonts w:eastAsia="Calibri"/>
                <w:sz w:val="24"/>
                <w:szCs w:val="24"/>
              </w:rPr>
            </w:pPr>
            <w:r>
              <w:rPr>
                <w:rFonts w:eastAsia="Calibri"/>
                <w:sz w:val="24"/>
                <w:szCs w:val="24"/>
              </w:rPr>
              <w:t xml:space="preserve">Приложение № 11: </w:t>
            </w:r>
            <w:r w:rsidRPr="0060747E">
              <w:rPr>
                <w:rFonts w:eastAsia="Calibri"/>
                <w:sz w:val="24"/>
                <w:szCs w:val="24"/>
              </w:rPr>
              <w:t>Декларация за липса на изкуствено създадени условия</w:t>
            </w:r>
            <w:r>
              <w:rPr>
                <w:rFonts w:eastAsia="Calibri"/>
                <w:sz w:val="24"/>
                <w:szCs w:val="24"/>
              </w:rPr>
              <w:t>;</w:t>
            </w:r>
          </w:p>
          <w:p w14:paraId="0440E747" w14:textId="149A3F9A" w:rsidR="0060747E" w:rsidRDefault="0060747E" w:rsidP="00CF43D6">
            <w:pPr>
              <w:tabs>
                <w:tab w:val="left" w:pos="1800"/>
              </w:tabs>
              <w:spacing w:before="120" w:after="120"/>
              <w:jc w:val="both"/>
              <w:rPr>
                <w:rFonts w:eastAsia="Calibri"/>
                <w:sz w:val="24"/>
                <w:szCs w:val="24"/>
              </w:rPr>
            </w:pPr>
            <w:r>
              <w:rPr>
                <w:rFonts w:eastAsia="Calibri"/>
                <w:sz w:val="24"/>
                <w:szCs w:val="24"/>
              </w:rPr>
              <w:t xml:space="preserve">Приложение № 12: </w:t>
            </w:r>
            <w:r w:rsidRPr="0060747E">
              <w:rPr>
                <w:rFonts w:eastAsia="Calibri"/>
                <w:sz w:val="24"/>
                <w:szCs w:val="24"/>
              </w:rPr>
              <w:t>Декларация за минимални и държавни помощи</w:t>
            </w:r>
            <w:r>
              <w:rPr>
                <w:rFonts w:eastAsia="Calibri"/>
                <w:sz w:val="24"/>
                <w:szCs w:val="24"/>
              </w:rPr>
              <w:t>;</w:t>
            </w:r>
          </w:p>
          <w:p w14:paraId="7C86B7E8" w14:textId="43608F8C" w:rsidR="0060747E" w:rsidRDefault="0060747E" w:rsidP="00CF43D6">
            <w:pPr>
              <w:tabs>
                <w:tab w:val="left" w:pos="1800"/>
              </w:tabs>
              <w:spacing w:before="120" w:after="120"/>
              <w:jc w:val="both"/>
              <w:rPr>
                <w:rFonts w:eastAsia="Calibri"/>
                <w:sz w:val="24"/>
                <w:szCs w:val="24"/>
              </w:rPr>
            </w:pPr>
            <w:r>
              <w:rPr>
                <w:rFonts w:eastAsia="Calibri"/>
                <w:sz w:val="24"/>
                <w:szCs w:val="24"/>
              </w:rPr>
              <w:t xml:space="preserve">Приложение № 13: </w:t>
            </w:r>
            <w:r w:rsidRPr="0060747E">
              <w:rPr>
                <w:rFonts w:eastAsia="Calibri"/>
                <w:sz w:val="24"/>
                <w:szCs w:val="24"/>
              </w:rPr>
              <w:t>Декларация за изчисление на минималния стандартен производствен обем</w:t>
            </w:r>
            <w:r>
              <w:rPr>
                <w:rFonts w:eastAsia="Calibri"/>
                <w:sz w:val="24"/>
                <w:szCs w:val="24"/>
              </w:rPr>
              <w:t xml:space="preserve">; </w:t>
            </w:r>
          </w:p>
          <w:p w14:paraId="757C45E1" w14:textId="7CE39F3B" w:rsidR="0060747E" w:rsidRDefault="0060747E" w:rsidP="00CF43D6">
            <w:pPr>
              <w:tabs>
                <w:tab w:val="left" w:pos="1800"/>
              </w:tabs>
              <w:spacing w:before="120" w:after="120"/>
              <w:jc w:val="both"/>
              <w:rPr>
                <w:rFonts w:eastAsia="Calibri"/>
                <w:sz w:val="24"/>
                <w:szCs w:val="24"/>
              </w:rPr>
            </w:pPr>
            <w:r>
              <w:rPr>
                <w:rFonts w:eastAsia="Calibri"/>
                <w:sz w:val="24"/>
                <w:szCs w:val="24"/>
              </w:rPr>
              <w:t xml:space="preserve">Приложение № 14: </w:t>
            </w:r>
            <w:r w:rsidRPr="0060747E">
              <w:rPr>
                <w:rFonts w:eastAsia="Calibri"/>
                <w:sz w:val="24"/>
                <w:szCs w:val="24"/>
              </w:rPr>
              <w:t>Декларация за видовете и количества суровини</w:t>
            </w:r>
            <w:r>
              <w:rPr>
                <w:rFonts w:eastAsia="Calibri"/>
                <w:sz w:val="24"/>
                <w:szCs w:val="24"/>
              </w:rPr>
              <w:t>;</w:t>
            </w:r>
          </w:p>
          <w:p w14:paraId="6A6FC419" w14:textId="63D755FF" w:rsidR="0060747E" w:rsidRDefault="0060747E" w:rsidP="00CF43D6">
            <w:pPr>
              <w:tabs>
                <w:tab w:val="left" w:pos="1800"/>
              </w:tabs>
              <w:spacing w:before="120" w:after="120"/>
              <w:jc w:val="both"/>
              <w:rPr>
                <w:rFonts w:eastAsia="Calibri"/>
                <w:sz w:val="24"/>
                <w:szCs w:val="24"/>
              </w:rPr>
            </w:pPr>
            <w:r>
              <w:rPr>
                <w:rFonts w:eastAsia="Calibri"/>
                <w:sz w:val="24"/>
                <w:szCs w:val="24"/>
              </w:rPr>
              <w:t xml:space="preserve">Приложение № 15: </w:t>
            </w:r>
            <w:r w:rsidRPr="0060747E">
              <w:rPr>
                <w:rFonts w:eastAsia="Calibri"/>
                <w:sz w:val="24"/>
                <w:szCs w:val="24"/>
              </w:rPr>
              <w:t>Декларация за съгласие и информираност за обработване на лични данни</w:t>
            </w:r>
            <w:r>
              <w:rPr>
                <w:rFonts w:eastAsia="Calibri"/>
                <w:sz w:val="24"/>
                <w:szCs w:val="24"/>
              </w:rPr>
              <w:t>;</w:t>
            </w:r>
          </w:p>
          <w:p w14:paraId="570B1105" w14:textId="52BCDB74" w:rsidR="0060747E" w:rsidRDefault="0060747E" w:rsidP="00CF43D6">
            <w:pPr>
              <w:tabs>
                <w:tab w:val="left" w:pos="1800"/>
              </w:tabs>
              <w:spacing w:before="120" w:after="120"/>
              <w:jc w:val="both"/>
              <w:rPr>
                <w:rFonts w:eastAsia="Calibri"/>
                <w:sz w:val="24"/>
                <w:szCs w:val="24"/>
              </w:rPr>
            </w:pPr>
            <w:r>
              <w:rPr>
                <w:rFonts w:eastAsia="Calibri"/>
                <w:sz w:val="24"/>
                <w:szCs w:val="24"/>
              </w:rPr>
              <w:t xml:space="preserve">Приложение № 16: </w:t>
            </w:r>
            <w:r w:rsidRPr="0060747E">
              <w:rPr>
                <w:rFonts w:eastAsia="Calibri"/>
                <w:sz w:val="24"/>
                <w:szCs w:val="24"/>
              </w:rPr>
              <w:t>Декларация за изчисление на минималния стандартен производствен обем</w:t>
            </w:r>
            <w:r>
              <w:rPr>
                <w:rFonts w:eastAsia="Calibri"/>
                <w:sz w:val="24"/>
                <w:szCs w:val="24"/>
              </w:rPr>
              <w:t>;</w:t>
            </w:r>
          </w:p>
          <w:p w14:paraId="323BCFED" w14:textId="1D4F0B43" w:rsidR="0060747E" w:rsidRDefault="0060747E" w:rsidP="00CF43D6">
            <w:pPr>
              <w:tabs>
                <w:tab w:val="left" w:pos="1800"/>
              </w:tabs>
              <w:spacing w:before="120" w:after="120"/>
              <w:jc w:val="both"/>
              <w:rPr>
                <w:rFonts w:eastAsia="Calibri"/>
                <w:sz w:val="24"/>
                <w:szCs w:val="24"/>
              </w:rPr>
            </w:pPr>
            <w:r>
              <w:rPr>
                <w:rFonts w:eastAsia="Calibri"/>
                <w:sz w:val="24"/>
                <w:szCs w:val="24"/>
              </w:rPr>
              <w:t xml:space="preserve">Приложение № 17: </w:t>
            </w:r>
            <w:r w:rsidRPr="0060747E">
              <w:rPr>
                <w:rFonts w:eastAsia="Calibri"/>
                <w:sz w:val="24"/>
                <w:szCs w:val="24"/>
              </w:rPr>
              <w:t>Справка-декларация за обработваната земя и отглежданите животни</w:t>
            </w:r>
            <w:r>
              <w:rPr>
                <w:rFonts w:eastAsia="Calibri"/>
                <w:sz w:val="24"/>
                <w:szCs w:val="24"/>
              </w:rPr>
              <w:t>;</w:t>
            </w:r>
          </w:p>
          <w:p w14:paraId="7C6FBE50" w14:textId="6C323DA4" w:rsidR="0060747E" w:rsidRDefault="0060747E" w:rsidP="00CF43D6">
            <w:pPr>
              <w:tabs>
                <w:tab w:val="left" w:pos="1800"/>
              </w:tabs>
              <w:spacing w:before="120" w:after="120"/>
              <w:jc w:val="both"/>
              <w:rPr>
                <w:rFonts w:eastAsia="Calibri"/>
                <w:sz w:val="24"/>
                <w:szCs w:val="24"/>
              </w:rPr>
            </w:pPr>
            <w:r>
              <w:rPr>
                <w:rFonts w:eastAsia="Calibri"/>
                <w:sz w:val="24"/>
                <w:szCs w:val="24"/>
              </w:rPr>
              <w:t xml:space="preserve">Приложение № 18: </w:t>
            </w:r>
            <w:r w:rsidRPr="0060747E">
              <w:rPr>
                <w:rFonts w:eastAsia="Calibri"/>
                <w:sz w:val="24"/>
                <w:szCs w:val="24"/>
              </w:rPr>
              <w:t>Декларация за видовете и количества суровини</w:t>
            </w:r>
            <w:r>
              <w:rPr>
                <w:rFonts w:eastAsia="Calibri"/>
                <w:sz w:val="24"/>
                <w:szCs w:val="24"/>
              </w:rPr>
              <w:t>.</w:t>
            </w:r>
          </w:p>
          <w:p w14:paraId="5E73B1B1" w14:textId="77777777" w:rsidR="0060747E" w:rsidRPr="00CF43D6" w:rsidRDefault="0060747E" w:rsidP="00CF43D6">
            <w:pPr>
              <w:tabs>
                <w:tab w:val="left" w:pos="1800"/>
              </w:tabs>
              <w:spacing w:before="120" w:after="120"/>
              <w:jc w:val="both"/>
              <w:rPr>
                <w:rFonts w:eastAsia="Calibri"/>
                <w:sz w:val="24"/>
                <w:szCs w:val="24"/>
              </w:rPr>
            </w:pPr>
          </w:p>
          <w:p w14:paraId="54A22608" w14:textId="77777777" w:rsidR="00CF7F8E" w:rsidRDefault="00CF7F8E" w:rsidP="00CF7F8E">
            <w:pPr>
              <w:tabs>
                <w:tab w:val="left" w:pos="1800"/>
              </w:tabs>
              <w:spacing w:before="120" w:after="120"/>
              <w:jc w:val="both"/>
              <w:rPr>
                <w:rFonts w:eastAsia="Calibri"/>
                <w:sz w:val="24"/>
                <w:szCs w:val="24"/>
              </w:rPr>
            </w:pPr>
          </w:p>
          <w:p w14:paraId="0C00E76C" w14:textId="2BB847A0" w:rsidR="002759EB" w:rsidRDefault="002759EB" w:rsidP="00CF7F8E">
            <w:pPr>
              <w:tabs>
                <w:tab w:val="left" w:pos="1800"/>
              </w:tabs>
              <w:spacing w:before="120" w:after="120"/>
              <w:jc w:val="both"/>
              <w:rPr>
                <w:b/>
                <w:color w:val="000000"/>
                <w:sz w:val="24"/>
                <w:szCs w:val="24"/>
              </w:rPr>
            </w:pPr>
            <w:r w:rsidRPr="002759EB">
              <w:rPr>
                <w:b/>
                <w:color w:val="000000"/>
                <w:sz w:val="24"/>
                <w:szCs w:val="24"/>
              </w:rPr>
              <w:lastRenderedPageBreak/>
              <w:t>ЗА ИНФОРМАЦИЯ:</w:t>
            </w:r>
          </w:p>
          <w:p w14:paraId="24453780" w14:textId="28B3B912" w:rsidR="00154310" w:rsidRPr="00205E3F" w:rsidRDefault="006A084A" w:rsidP="006A084A">
            <w:pPr>
              <w:tabs>
                <w:tab w:val="left" w:pos="1800"/>
              </w:tabs>
              <w:spacing w:before="120" w:after="120"/>
              <w:jc w:val="both"/>
              <w:rPr>
                <w:color w:val="000000"/>
                <w:sz w:val="24"/>
                <w:szCs w:val="24"/>
                <w:lang w:val="en-US"/>
              </w:rPr>
            </w:pPr>
            <w:r>
              <w:rPr>
                <w:color w:val="000000"/>
                <w:sz w:val="24"/>
                <w:szCs w:val="24"/>
              </w:rPr>
              <w:t>Приложение № 19:</w:t>
            </w:r>
            <w:r>
              <w:t xml:space="preserve"> </w:t>
            </w:r>
            <w:r w:rsidR="00205E3F" w:rsidRPr="00205E3F">
              <w:rPr>
                <w:color w:val="000000"/>
                <w:sz w:val="24"/>
                <w:szCs w:val="24"/>
              </w:rPr>
              <w:t>Суровини от растителен и животински произход и продукти от тях в чувствителни сектори</w:t>
            </w:r>
            <w:r w:rsidR="00205E3F">
              <w:rPr>
                <w:color w:val="000000"/>
                <w:sz w:val="24"/>
                <w:szCs w:val="24"/>
              </w:rPr>
              <w:t>;</w:t>
            </w:r>
          </w:p>
          <w:p w14:paraId="4E5BD83B" w14:textId="7B1FE6DA" w:rsidR="00154310" w:rsidRPr="00154310" w:rsidRDefault="00154310" w:rsidP="00CF7F8E">
            <w:pPr>
              <w:tabs>
                <w:tab w:val="left" w:pos="1800"/>
              </w:tabs>
              <w:spacing w:before="120" w:after="120"/>
              <w:jc w:val="both"/>
              <w:rPr>
                <w:color w:val="000000"/>
                <w:sz w:val="24"/>
                <w:szCs w:val="24"/>
              </w:rPr>
            </w:pPr>
            <w:r w:rsidRPr="00154310">
              <w:rPr>
                <w:color w:val="000000"/>
                <w:sz w:val="24"/>
                <w:szCs w:val="24"/>
              </w:rPr>
              <w:t>Приложение № 20: Критерии за техническа и финансова оценка;</w:t>
            </w:r>
          </w:p>
          <w:p w14:paraId="40DE4FAB" w14:textId="3A532F2A" w:rsidR="005914FD" w:rsidRDefault="00154310" w:rsidP="005914FD">
            <w:pPr>
              <w:spacing w:after="200"/>
              <w:jc w:val="both"/>
              <w:rPr>
                <w:rFonts w:eastAsia="Calibri"/>
                <w:sz w:val="24"/>
                <w:szCs w:val="24"/>
              </w:rPr>
            </w:pPr>
            <w:r>
              <w:rPr>
                <w:rFonts w:eastAsia="Calibri"/>
                <w:sz w:val="24"/>
                <w:szCs w:val="24"/>
              </w:rPr>
              <w:t>Приложение № 21:</w:t>
            </w:r>
            <w:r w:rsidR="005914FD">
              <w:rPr>
                <w:rFonts w:eastAsia="Calibri"/>
                <w:sz w:val="24"/>
                <w:szCs w:val="24"/>
              </w:rPr>
              <w:t xml:space="preserve"> </w:t>
            </w:r>
            <w:r>
              <w:rPr>
                <w:rFonts w:eastAsia="Calibri"/>
                <w:sz w:val="24"/>
                <w:szCs w:val="24"/>
              </w:rPr>
              <w:t>Инструкция за попълване на таблицата за изчисление на СПО;</w:t>
            </w:r>
          </w:p>
          <w:p w14:paraId="437EC1E5" w14:textId="40CFE666" w:rsidR="005914FD" w:rsidRDefault="00205E3F" w:rsidP="00205E3F">
            <w:pPr>
              <w:spacing w:after="200"/>
              <w:jc w:val="both"/>
              <w:rPr>
                <w:rFonts w:eastAsia="Calibri"/>
                <w:sz w:val="24"/>
                <w:szCs w:val="24"/>
              </w:rPr>
            </w:pPr>
            <w:r>
              <w:rPr>
                <w:rFonts w:eastAsia="Calibri"/>
                <w:sz w:val="24"/>
                <w:szCs w:val="24"/>
              </w:rPr>
              <w:t xml:space="preserve">Приложение № 22: </w:t>
            </w:r>
            <w:r w:rsidRPr="00205E3F">
              <w:rPr>
                <w:rFonts w:eastAsia="Calibri"/>
                <w:sz w:val="24"/>
                <w:szCs w:val="24"/>
              </w:rPr>
              <w:t>Критерии за Административно съответствие  и допустимост;</w:t>
            </w:r>
            <w:r w:rsidR="005914FD" w:rsidRPr="001A2234">
              <w:rPr>
                <w:rFonts w:eastAsia="Calibri"/>
                <w:sz w:val="24"/>
                <w:szCs w:val="24"/>
              </w:rPr>
              <w:t xml:space="preserve"> </w:t>
            </w:r>
          </w:p>
          <w:p w14:paraId="02C6B82A" w14:textId="14822EE0" w:rsidR="00205E3F" w:rsidRDefault="00205E3F" w:rsidP="00205E3F">
            <w:pPr>
              <w:spacing w:after="200"/>
              <w:jc w:val="both"/>
              <w:rPr>
                <w:rFonts w:eastAsia="Calibri"/>
                <w:sz w:val="24"/>
                <w:szCs w:val="24"/>
              </w:rPr>
            </w:pPr>
            <w:r>
              <w:rPr>
                <w:rFonts w:eastAsia="Calibri"/>
                <w:sz w:val="24"/>
                <w:szCs w:val="24"/>
              </w:rPr>
              <w:t>Приложение № 23: Таблица за изчисление на стандартния производствен обем (СПО);</w:t>
            </w:r>
          </w:p>
          <w:p w14:paraId="57DB75EA" w14:textId="03EA2EDB" w:rsidR="00205E3F" w:rsidRDefault="00205E3F" w:rsidP="005914FD">
            <w:pPr>
              <w:spacing w:after="200"/>
              <w:jc w:val="both"/>
              <w:rPr>
                <w:rFonts w:eastAsia="Calibri"/>
                <w:sz w:val="24"/>
                <w:szCs w:val="24"/>
              </w:rPr>
            </w:pPr>
            <w:r>
              <w:rPr>
                <w:rFonts w:eastAsia="Calibri"/>
                <w:sz w:val="24"/>
                <w:szCs w:val="24"/>
              </w:rPr>
              <w:t xml:space="preserve">Приложение № 24: Инструкция за попълване на таблица за </w:t>
            </w:r>
            <w:r w:rsidRPr="00205E3F">
              <w:rPr>
                <w:rFonts w:eastAsia="Calibri"/>
                <w:sz w:val="24"/>
                <w:szCs w:val="24"/>
              </w:rPr>
              <w:t>СПО</w:t>
            </w:r>
            <w:r>
              <w:rPr>
                <w:rFonts w:eastAsia="Calibri"/>
                <w:sz w:val="24"/>
                <w:szCs w:val="24"/>
              </w:rPr>
              <w:t>;</w:t>
            </w:r>
          </w:p>
          <w:p w14:paraId="6FF229FF" w14:textId="13A85E56" w:rsidR="00205E3F" w:rsidRDefault="00205E3F" w:rsidP="005914FD">
            <w:pPr>
              <w:spacing w:after="200"/>
              <w:jc w:val="both"/>
              <w:rPr>
                <w:rFonts w:eastAsia="Calibri"/>
                <w:sz w:val="24"/>
                <w:szCs w:val="24"/>
              </w:rPr>
            </w:pPr>
            <w:r>
              <w:rPr>
                <w:rFonts w:eastAsia="Calibri"/>
                <w:sz w:val="24"/>
                <w:szCs w:val="24"/>
              </w:rPr>
              <w:t xml:space="preserve">Приложение № 25: </w:t>
            </w:r>
            <w:r w:rsidRPr="00205E3F">
              <w:rPr>
                <w:rFonts w:eastAsia="Calibri"/>
                <w:sz w:val="24"/>
                <w:szCs w:val="24"/>
              </w:rPr>
              <w:t>Указания за попълване Декларация по чл 4а, ал. 1 от ЗМСП</w:t>
            </w:r>
            <w:r>
              <w:rPr>
                <w:rFonts w:eastAsia="Calibri"/>
                <w:sz w:val="24"/>
                <w:szCs w:val="24"/>
              </w:rPr>
              <w:t>;</w:t>
            </w:r>
          </w:p>
          <w:p w14:paraId="273AD802" w14:textId="77777777" w:rsidR="00205E3F" w:rsidRDefault="00205E3F" w:rsidP="009054A2">
            <w:pPr>
              <w:spacing w:after="200"/>
              <w:jc w:val="both"/>
              <w:rPr>
                <w:rFonts w:eastAsia="Calibri"/>
                <w:sz w:val="24"/>
                <w:szCs w:val="24"/>
              </w:rPr>
            </w:pPr>
            <w:r>
              <w:rPr>
                <w:rFonts w:eastAsia="Calibri"/>
                <w:sz w:val="24"/>
                <w:szCs w:val="24"/>
              </w:rPr>
              <w:t xml:space="preserve">Приложение № 26: </w:t>
            </w:r>
            <w:r w:rsidRPr="00205E3F">
              <w:rPr>
                <w:rFonts w:eastAsia="Calibri"/>
                <w:sz w:val="24"/>
                <w:szCs w:val="24"/>
              </w:rPr>
              <w:t>Списък с наименованията на активите, дейностите и услугите, за които са определени референтни разходи</w:t>
            </w:r>
            <w:r>
              <w:rPr>
                <w:rFonts w:eastAsia="Calibri"/>
                <w:sz w:val="24"/>
                <w:szCs w:val="24"/>
              </w:rPr>
              <w:t>;</w:t>
            </w:r>
          </w:p>
          <w:p w14:paraId="0072D509" w14:textId="4C9904CD" w:rsidR="00F0255B" w:rsidRPr="000B0711" w:rsidRDefault="00205E3F" w:rsidP="009054A2">
            <w:pPr>
              <w:spacing w:after="200"/>
              <w:jc w:val="both"/>
              <w:rPr>
                <w:rFonts w:eastAsia="Calibri"/>
                <w:sz w:val="24"/>
                <w:szCs w:val="24"/>
              </w:rPr>
            </w:pPr>
            <w:r w:rsidRPr="00205E3F">
              <w:rPr>
                <w:rFonts w:eastAsia="Calibri"/>
                <w:sz w:val="24"/>
                <w:szCs w:val="24"/>
              </w:rPr>
              <w:t>Приложен</w:t>
            </w:r>
            <w:r>
              <w:rPr>
                <w:rFonts w:eastAsia="Calibri"/>
                <w:sz w:val="24"/>
                <w:szCs w:val="24"/>
              </w:rPr>
              <w:t xml:space="preserve">ие № 27: </w:t>
            </w:r>
            <w:r w:rsidRPr="00205E3F">
              <w:rPr>
                <w:rFonts w:eastAsia="Calibri"/>
                <w:sz w:val="24"/>
                <w:szCs w:val="24"/>
              </w:rPr>
              <w:t>Списък по член 38 от Приложение I Договора за функционирането на ЕС</w:t>
            </w:r>
            <w:r w:rsidR="007C5F71">
              <w:rPr>
                <w:rFonts w:eastAsia="Calibri"/>
                <w:sz w:val="24"/>
                <w:szCs w:val="24"/>
              </w:rPr>
              <w:t>.</w:t>
            </w:r>
          </w:p>
        </w:tc>
      </w:tr>
    </w:tbl>
    <w:p w14:paraId="613F4BAB" w14:textId="77777777" w:rsidR="00EC51FD" w:rsidRPr="00EC51FD" w:rsidRDefault="00EC51FD" w:rsidP="00EC51FD">
      <w:pPr>
        <w:pStyle w:val="ListParagraph"/>
        <w:spacing w:before="120" w:after="120" w:line="240" w:lineRule="auto"/>
        <w:ind w:left="0"/>
        <w:contextualSpacing w:val="0"/>
        <w:jc w:val="both"/>
        <w:rPr>
          <w:rFonts w:ascii="Times New Roman" w:hAnsi="Times New Roman" w:cs="Times New Roman"/>
          <w:sz w:val="24"/>
          <w:szCs w:val="24"/>
        </w:rPr>
      </w:pPr>
    </w:p>
    <w:sectPr w:rsidR="00EC51FD" w:rsidRPr="00EC51FD" w:rsidSect="00AF5CC7">
      <w:headerReference w:type="default" r:id="rId16"/>
      <w:footerReference w:type="default" r:id="rId17"/>
      <w:pgSz w:w="11906" w:h="16838"/>
      <w:pgMar w:top="2208" w:right="1133" w:bottom="851"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B8624" w14:textId="77777777" w:rsidR="005F3DFE" w:rsidRDefault="005F3DFE" w:rsidP="002325A3">
      <w:pPr>
        <w:spacing w:after="0" w:line="240" w:lineRule="auto"/>
      </w:pPr>
      <w:r>
        <w:separator/>
      </w:r>
    </w:p>
  </w:endnote>
  <w:endnote w:type="continuationSeparator" w:id="0">
    <w:p w14:paraId="54B05523" w14:textId="77777777" w:rsidR="005F3DFE" w:rsidRDefault="005F3DFE" w:rsidP="0023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G Mincho Light J">
    <w:altName w:val="Times New Roman"/>
    <w:charset w:val="00"/>
    <w:family w:val="auto"/>
    <w:pitch w:val="variable"/>
  </w:font>
  <w:font w:name="EUAlbertina">
    <w:altName w:val="Times New Roman"/>
    <w:panose1 w:val="00000000000000000000"/>
    <w:charset w:val="00"/>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FB42C" w14:textId="77777777" w:rsidR="000F5F25" w:rsidRDefault="000F5F25" w:rsidP="009C0B06">
    <w:pPr>
      <w:pStyle w:val="Footer"/>
      <w:pBdr>
        <w:bottom w:val="single" w:sz="12" w:space="1" w:color="auto"/>
      </w:pBdr>
      <w:tabs>
        <w:tab w:val="clear" w:pos="9072"/>
        <w:tab w:val="right" w:pos="9356"/>
      </w:tabs>
      <w:jc w:val="right"/>
    </w:pPr>
  </w:p>
  <w:p w14:paraId="681FE58E" w14:textId="096246BC" w:rsidR="000F5F25" w:rsidRDefault="000F5F25" w:rsidP="0053299B">
    <w:pPr>
      <w:pStyle w:val="Footer"/>
      <w:ind w:right="284"/>
      <w:jc w:val="right"/>
      <w:rPr>
        <w:noProof/>
      </w:rPr>
    </w:pPr>
    <w:r>
      <w:fldChar w:fldCharType="begin"/>
    </w:r>
    <w:r>
      <w:instrText xml:space="preserve"> PAGE   \* MERGEFORMAT </w:instrText>
    </w:r>
    <w:r>
      <w:fldChar w:fldCharType="separate"/>
    </w:r>
    <w:r w:rsidR="00EE28C1">
      <w:rPr>
        <w:noProof/>
      </w:rPr>
      <w:t>40</w:t>
    </w:r>
    <w:r>
      <w:rPr>
        <w:noProof/>
      </w:rPr>
      <w:fldChar w:fldCharType="end"/>
    </w:r>
  </w:p>
  <w:p w14:paraId="5F08F053" w14:textId="7E4E2B81" w:rsidR="000F5F25" w:rsidRDefault="000F5F25" w:rsidP="00BD49D7">
    <w:pPr>
      <w:pStyle w:val="Footer"/>
      <w:ind w:right="284"/>
      <w:jc w:val="center"/>
      <w:rPr>
        <w:b/>
        <w:sz w:val="28"/>
        <w:szCs w:val="28"/>
      </w:rPr>
    </w:pPr>
    <w:r>
      <w:rPr>
        <w:rFonts w:ascii="Times New Roman" w:hAnsi="Times New Roman"/>
        <w:sz w:val="20"/>
      </w:rPr>
      <w:t xml:space="preserve">Условия за кандидатстване </w:t>
    </w:r>
    <w:r w:rsidRPr="00E72C85">
      <w:rPr>
        <w:rFonts w:ascii="Times New Roman" w:hAnsi="Times New Roman"/>
        <w:sz w:val="20"/>
      </w:rPr>
      <w:t>BG06RDNP001-19.605</w:t>
    </w:r>
  </w:p>
  <w:p w14:paraId="2AB6762B" w14:textId="7038B4FB" w:rsidR="000F5F25" w:rsidRPr="00BD49D7" w:rsidRDefault="000F5F25" w:rsidP="00BD49D7">
    <w:pPr>
      <w:pStyle w:val="Footer"/>
      <w:ind w:right="284"/>
      <w:jc w:val="center"/>
    </w:pPr>
    <w:r>
      <w:rPr>
        <w:rFonts w:ascii="Times New Roman" w:hAnsi="Times New Roman"/>
        <w:sz w:val="20"/>
      </w:rPr>
      <w:t>МИГ Поморие_4.2_М2 “</w:t>
    </w:r>
    <w:r w:rsidRPr="00C2751D">
      <w:rPr>
        <w:rFonts w:ascii="Times New Roman" w:hAnsi="Times New Roman"/>
        <w:sz w:val="20"/>
      </w:rPr>
      <w:t>Инвестиции в преработка/маркетинг на селскостопански продукти</w:t>
    </w:r>
    <w:r>
      <w:rPr>
        <w:rFonts w:ascii="Times New Roman" w:hAnsi="Times New Roman"/>
        <w:sz w:val="20"/>
      </w:rPr>
      <w:t>“</w:t>
    </w:r>
  </w:p>
  <w:p w14:paraId="34E01395" w14:textId="77777777" w:rsidR="000F5F25" w:rsidRDefault="000F5F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16B88" w14:textId="77777777" w:rsidR="005F3DFE" w:rsidRDefault="005F3DFE" w:rsidP="002325A3">
      <w:pPr>
        <w:spacing w:after="0" w:line="240" w:lineRule="auto"/>
      </w:pPr>
      <w:r>
        <w:separator/>
      </w:r>
    </w:p>
  </w:footnote>
  <w:footnote w:type="continuationSeparator" w:id="0">
    <w:p w14:paraId="521A1F89" w14:textId="77777777" w:rsidR="005F3DFE" w:rsidRDefault="005F3DFE" w:rsidP="002325A3">
      <w:pPr>
        <w:spacing w:after="0" w:line="240" w:lineRule="auto"/>
      </w:pPr>
      <w:r>
        <w:continuationSeparator/>
      </w:r>
    </w:p>
  </w:footnote>
  <w:footnote w:id="1">
    <w:p w14:paraId="3B3B13A0" w14:textId="77777777" w:rsidR="000F5F25" w:rsidRPr="00D467D3" w:rsidRDefault="000F5F25">
      <w:pPr>
        <w:pStyle w:val="FootnoteText"/>
        <w:rPr>
          <w:rFonts w:ascii="Times New Roman" w:hAnsi="Times New Roman" w:cs="Times New Roman"/>
        </w:rPr>
      </w:pPr>
      <w:r w:rsidRPr="00D467D3">
        <w:rPr>
          <w:rStyle w:val="FootnoteReference"/>
          <w:rFonts w:ascii="Times New Roman" w:hAnsi="Times New Roman" w:cs="Times New Roman"/>
        </w:rPr>
        <w:footnoteRef/>
      </w:r>
      <w:r w:rsidRPr="00D467D3">
        <w:rPr>
          <w:rFonts w:ascii="Times New Roman" w:hAnsi="Times New Roman" w:cs="Times New Roman"/>
        </w:rPr>
        <w:t xml:space="preserve"> Съгласно Регламент за изпълнение (ЕС) № 215/2014 на комисията от 7 март 2014 година.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88E21" w14:textId="4B964818" w:rsidR="000F5F25" w:rsidRDefault="000F5F25" w:rsidP="003A5150">
    <w:pPr>
      <w:pStyle w:val="Header"/>
      <w:tabs>
        <w:tab w:val="left" w:pos="2580"/>
        <w:tab w:val="left" w:pos="2985"/>
      </w:tabs>
      <w:spacing w:after="120" w:line="276" w:lineRule="auto"/>
      <w:rPr>
        <w:rFonts w:ascii="Times New Roman" w:hAnsi="Times New Roman" w:cs="Times New Roman"/>
        <w:b/>
        <w:color w:val="7F7F7F" w:themeColor="text1" w:themeTint="80"/>
        <w:sz w:val="32"/>
        <w:szCs w:val="32"/>
      </w:rPr>
    </w:pPr>
    <w:r>
      <w:rPr>
        <w:rFonts w:ascii="Times New Roman" w:hAnsi="Times New Roman" w:cs="Times New Roman"/>
        <w:b/>
        <w:noProof/>
        <w:color w:val="7F7F7F" w:themeColor="text1" w:themeTint="80"/>
        <w:sz w:val="32"/>
        <w:szCs w:val="32"/>
        <w:lang w:val="en-US"/>
      </w:rPr>
      <w:drawing>
        <wp:anchor distT="0" distB="0" distL="114300" distR="114300" simplePos="0" relativeHeight="251694592" behindDoc="0" locked="0" layoutInCell="1" allowOverlap="1" wp14:anchorId="1AB9031F" wp14:editId="7B84EFF5">
          <wp:simplePos x="0" y="0"/>
          <wp:positionH relativeFrom="margin">
            <wp:posOffset>2513965</wp:posOffset>
          </wp:positionH>
          <wp:positionV relativeFrom="margin">
            <wp:posOffset>-1786255</wp:posOffset>
          </wp:positionV>
          <wp:extent cx="1390650" cy="577850"/>
          <wp:effectExtent l="0" t="0" r="0" b="0"/>
          <wp:wrapSquare wrapText="bothSides"/>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G_Pomorie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650" cy="5778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i/>
        <w:iCs/>
        <w:noProof/>
        <w:color w:val="7F7F7F" w:themeColor="text1" w:themeTint="80"/>
        <w:sz w:val="20"/>
        <w:szCs w:val="20"/>
        <w:lang w:val="en-US"/>
      </w:rPr>
      <w:drawing>
        <wp:anchor distT="0" distB="0" distL="114300" distR="114300" simplePos="0" relativeHeight="251642368" behindDoc="0" locked="0" layoutInCell="1" allowOverlap="1" wp14:anchorId="26165B41" wp14:editId="07FFB031">
          <wp:simplePos x="0" y="0"/>
          <wp:positionH relativeFrom="margin">
            <wp:posOffset>1621790</wp:posOffset>
          </wp:positionH>
          <wp:positionV relativeFrom="paragraph">
            <wp:posOffset>19685</wp:posOffset>
          </wp:positionV>
          <wp:extent cx="556260" cy="556260"/>
          <wp:effectExtent l="0" t="0" r="2540" b="2540"/>
          <wp:wrapNone/>
          <wp:docPr id="20" name="Картина 1" descr="&amp;Lcy;&amp;ocy;&amp;gcy;&amp;ocy; &amp;ncy;&amp;acy; &amp;Pcy;&amp;Rcy;&amp;Scy;&amp;R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7" descr="&amp;Lcy;&amp;ocy;&amp;gcy;&amp;ocy; &amp;ncy;&amp;acy; &amp;Pcy;&amp;Rcy;&amp;Scy;&amp;Rc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634">
      <w:rPr>
        <w:rFonts w:ascii="Times New Roman" w:hAnsi="Times New Roman" w:cs="Times New Roman"/>
        <w:b/>
        <w:i/>
        <w:iCs/>
        <w:noProof/>
        <w:color w:val="7F7F7F" w:themeColor="text1" w:themeTint="80"/>
        <w:sz w:val="20"/>
        <w:szCs w:val="20"/>
        <w:lang w:val="en-US"/>
      </w:rPr>
      <w:drawing>
        <wp:anchor distT="0" distB="0" distL="114300" distR="114300" simplePos="0" relativeHeight="251664896" behindDoc="0" locked="0" layoutInCell="1" allowOverlap="1" wp14:anchorId="55451D35" wp14:editId="7ED574C7">
          <wp:simplePos x="0" y="0"/>
          <wp:positionH relativeFrom="margin">
            <wp:posOffset>286385</wp:posOffset>
          </wp:positionH>
          <wp:positionV relativeFrom="margin">
            <wp:posOffset>-1779905</wp:posOffset>
          </wp:positionV>
          <wp:extent cx="835660" cy="555625"/>
          <wp:effectExtent l="0" t="0" r="2540" b="3175"/>
          <wp:wrapSquare wrapText="bothSides"/>
          <wp:docPr id="18" name="Картина 8" descr="C:\Users\Fujitsu\Desktop\Flag_of_Europ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Flag_of_Europe.svg.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5660" cy="555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olor w:val="7F7F7F" w:themeColor="text1" w:themeTint="80"/>
        <w:sz w:val="32"/>
        <w:szCs w:val="32"/>
      </w:rPr>
      <w:t xml:space="preserve">                                                                               </w:t>
    </w:r>
    <w:r>
      <w:rPr>
        <w:rFonts w:ascii="Times New Roman" w:hAnsi="Times New Roman" w:cs="Times New Roman"/>
        <w:b/>
        <w:noProof/>
        <w:color w:val="7F7F7F" w:themeColor="text1" w:themeTint="80"/>
        <w:sz w:val="32"/>
        <w:szCs w:val="32"/>
        <w:lang w:val="en-US"/>
      </w:rPr>
      <w:drawing>
        <wp:inline distT="0" distB="0" distL="0" distR="0" wp14:anchorId="006367C0" wp14:editId="008FD7A4">
          <wp:extent cx="1627505" cy="646430"/>
          <wp:effectExtent l="0" t="0" r="0" b="1270"/>
          <wp:docPr id="9" name="Картина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7505" cy="646430"/>
                  </a:xfrm>
                  <a:prstGeom prst="rect">
                    <a:avLst/>
                  </a:prstGeom>
                  <a:noFill/>
                </pic:spPr>
              </pic:pic>
            </a:graphicData>
          </a:graphic>
        </wp:inline>
      </w:drawing>
    </w:r>
  </w:p>
  <w:p w14:paraId="59F9ED9C" w14:textId="77777777" w:rsidR="000F5F25" w:rsidRDefault="000F5F25" w:rsidP="003A5150">
    <w:pPr>
      <w:pStyle w:val="Header"/>
      <w:tabs>
        <w:tab w:val="left" w:pos="2580"/>
        <w:tab w:val="left" w:pos="2985"/>
      </w:tabs>
      <w:spacing w:line="360" w:lineRule="auto"/>
      <w:jc w:val="center"/>
      <w:rPr>
        <w:rFonts w:ascii="Times New Roman" w:hAnsi="Times New Roman" w:cs="Times New Roman"/>
        <w:b/>
        <w:bCs/>
        <w:i/>
        <w:iCs/>
        <w:spacing w:val="6"/>
        <w:sz w:val="20"/>
        <w:szCs w:val="20"/>
      </w:rPr>
    </w:pPr>
  </w:p>
  <w:p w14:paraId="641D5130" w14:textId="77777777" w:rsidR="000F5F25" w:rsidRPr="00D54185" w:rsidRDefault="000F5F25" w:rsidP="003A5150">
    <w:pPr>
      <w:pStyle w:val="Header"/>
      <w:pBdr>
        <w:bottom w:val="double" w:sz="4" w:space="1" w:color="auto"/>
      </w:pBdr>
      <w:tabs>
        <w:tab w:val="left" w:pos="2580"/>
        <w:tab w:val="left" w:pos="2985"/>
      </w:tabs>
      <w:spacing w:line="360" w:lineRule="auto"/>
      <w:jc w:val="center"/>
      <w:rPr>
        <w:rFonts w:ascii="Times New Roman" w:hAnsi="Times New Roman" w:cs="Times New Roman"/>
        <w:b/>
        <w:bCs/>
        <w:i/>
        <w:iCs/>
        <w:spacing w:val="6"/>
        <w:sz w:val="20"/>
        <w:szCs w:val="20"/>
      </w:rPr>
    </w:pPr>
    <w:r w:rsidRPr="00603125">
      <w:rPr>
        <w:rFonts w:ascii="Times New Roman" w:hAnsi="Times New Roman" w:cs="Times New Roman"/>
        <w:b/>
        <w:bCs/>
        <w:i/>
        <w:iCs/>
        <w:spacing w:val="6"/>
        <w:sz w:val="20"/>
        <w:szCs w:val="20"/>
      </w:rPr>
      <w:t>Европейски</w:t>
    </w:r>
    <w:r w:rsidRPr="00D54185">
      <w:rPr>
        <w:rFonts w:ascii="Times New Roman" w:hAnsi="Times New Roman" w:cs="Times New Roman"/>
        <w:b/>
        <w:bCs/>
        <w:i/>
        <w:iCs/>
        <w:spacing w:val="6"/>
        <w:sz w:val="20"/>
        <w:szCs w:val="20"/>
      </w:rPr>
      <w:t xml:space="preserve"> земеделски фонд за развитие на </w:t>
    </w:r>
    <w:r w:rsidRPr="001E479C">
      <w:rPr>
        <w:rFonts w:ascii="Times New Roman" w:hAnsi="Times New Roman" w:cs="Times New Roman"/>
        <w:b/>
        <w:bCs/>
        <w:i/>
        <w:iCs/>
        <w:spacing w:val="6"/>
        <w:sz w:val="20"/>
        <w:szCs w:val="20"/>
      </w:rPr>
      <w:t>селските</w:t>
    </w:r>
    <w:r w:rsidRPr="00D54185">
      <w:rPr>
        <w:rFonts w:ascii="Times New Roman" w:hAnsi="Times New Roman" w:cs="Times New Roman"/>
        <w:b/>
        <w:bCs/>
        <w:i/>
        <w:iCs/>
        <w:spacing w:val="6"/>
        <w:sz w:val="20"/>
        <w:szCs w:val="20"/>
      </w:rPr>
      <w:t xml:space="preserve"> райони: </w:t>
    </w:r>
    <w:r>
      <w:rPr>
        <w:rFonts w:ascii="Times New Roman" w:hAnsi="Times New Roman" w:cs="Times New Roman"/>
        <w:b/>
        <w:bCs/>
        <w:i/>
        <w:iCs/>
        <w:spacing w:val="6"/>
        <w:sz w:val="20"/>
        <w:szCs w:val="20"/>
      </w:rPr>
      <w:t xml:space="preserve"> </w:t>
    </w:r>
    <w:r w:rsidRPr="00D54185">
      <w:rPr>
        <w:rFonts w:ascii="Times New Roman" w:hAnsi="Times New Roman" w:cs="Times New Roman"/>
        <w:b/>
        <w:bCs/>
        <w:i/>
        <w:iCs/>
        <w:spacing w:val="6"/>
        <w:sz w:val="20"/>
        <w:szCs w:val="20"/>
      </w:rPr>
      <w:t>Европа инвестира в селските райони</w:t>
    </w:r>
  </w:p>
  <w:p w14:paraId="53C07E45" w14:textId="77777777" w:rsidR="000F5F25" w:rsidRPr="00C77914" w:rsidRDefault="000F5F25" w:rsidP="003A5150">
    <w:pPr>
      <w:pStyle w:val="Header"/>
      <w:tabs>
        <w:tab w:val="left" w:pos="2580"/>
        <w:tab w:val="left" w:pos="2985"/>
      </w:tabs>
      <w:spacing w:line="276" w:lineRule="auto"/>
      <w:jc w:val="center"/>
      <w:rPr>
        <w:rFonts w:ascii="Times New Roman" w:hAnsi="Times New Roman" w:cs="Times New Roman"/>
        <w:b/>
        <w:i/>
        <w:iCs/>
        <w:color w:val="7F7F7F" w:themeColor="text1" w:themeTint="80"/>
        <w:sz w:val="20"/>
        <w:szCs w:val="20"/>
      </w:rPr>
    </w:pPr>
  </w:p>
  <w:p w14:paraId="0794C70B" w14:textId="77777777" w:rsidR="000F5F25" w:rsidRDefault="000F5F25" w:rsidP="004E4497">
    <w:pPr>
      <w:spacing w:after="0" w:line="276" w:lineRule="auto"/>
      <w:outlineLvl w:val="0"/>
      <w:rPr>
        <w:b/>
        <w:bCs/>
        <w:i/>
        <w:i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2B0C"/>
    <w:multiLevelType w:val="hybridMultilevel"/>
    <w:tmpl w:val="000011F4"/>
    <w:lvl w:ilvl="0" w:tplc="00005DD5">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1EE3998"/>
    <w:multiLevelType w:val="multilevel"/>
    <w:tmpl w:val="2C484A94"/>
    <w:lvl w:ilvl="0">
      <w:start w:val="1"/>
      <w:numFmt w:val="bullet"/>
      <w:pStyle w:val="Clause"/>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394DC5"/>
    <w:multiLevelType w:val="multilevel"/>
    <w:tmpl w:val="25AA4316"/>
    <w:lvl w:ilvl="0">
      <w:start w:val="1"/>
      <w:numFmt w:val="decimal"/>
      <w:pStyle w:val="GfAheading1"/>
      <w:lvlText w:val="%1."/>
      <w:lvlJc w:val="left"/>
      <w:pPr>
        <w:tabs>
          <w:tab w:val="num" w:pos="1070"/>
        </w:tabs>
        <w:ind w:left="107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600"/>
        </w:tabs>
        <w:ind w:left="360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3">
    <w:nsid w:val="0A173D8F"/>
    <w:multiLevelType w:val="multilevel"/>
    <w:tmpl w:val="C69C00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31379DA"/>
    <w:multiLevelType w:val="hybridMultilevel"/>
    <w:tmpl w:val="9FE48CC8"/>
    <w:lvl w:ilvl="0" w:tplc="AE8EFA5E">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1AFB3EBF"/>
    <w:multiLevelType w:val="hybridMultilevel"/>
    <w:tmpl w:val="8B7478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CAF0F13"/>
    <w:multiLevelType w:val="hybridMultilevel"/>
    <w:tmpl w:val="E23EF692"/>
    <w:lvl w:ilvl="0" w:tplc="EACAC680">
      <w:start w:val="12"/>
      <w:numFmt w:val="bullet"/>
      <w:lvlText w:val="-"/>
      <w:lvlJc w:val="left"/>
      <w:pPr>
        <w:tabs>
          <w:tab w:val="num" w:pos="360"/>
        </w:tabs>
        <w:ind w:left="360" w:hanging="360"/>
      </w:pPr>
      <w:rPr>
        <w:rFonts w:ascii="Times New Roman" w:eastAsia="Times New Roman" w:hAnsi="Times New Roman" w:cs="Times New Roman" w:hint="default"/>
      </w:rPr>
    </w:lvl>
    <w:lvl w:ilvl="1" w:tplc="04020003" w:tentative="1">
      <w:start w:val="1"/>
      <w:numFmt w:val="bullet"/>
      <w:lvlText w:val="o"/>
      <w:lvlJc w:val="left"/>
      <w:pPr>
        <w:tabs>
          <w:tab w:val="num" w:pos="1020"/>
        </w:tabs>
        <w:ind w:left="1020" w:hanging="360"/>
      </w:pPr>
      <w:rPr>
        <w:rFonts w:ascii="Courier New" w:hAnsi="Courier New" w:hint="default"/>
      </w:rPr>
    </w:lvl>
    <w:lvl w:ilvl="2" w:tplc="04020005" w:tentative="1">
      <w:start w:val="1"/>
      <w:numFmt w:val="bullet"/>
      <w:lvlText w:val=""/>
      <w:lvlJc w:val="left"/>
      <w:pPr>
        <w:tabs>
          <w:tab w:val="num" w:pos="1740"/>
        </w:tabs>
        <w:ind w:left="1740" w:hanging="360"/>
      </w:pPr>
      <w:rPr>
        <w:rFonts w:ascii="Wingdings" w:hAnsi="Wingdings" w:hint="default"/>
      </w:rPr>
    </w:lvl>
    <w:lvl w:ilvl="3" w:tplc="04020001" w:tentative="1">
      <w:start w:val="1"/>
      <w:numFmt w:val="bullet"/>
      <w:lvlText w:val=""/>
      <w:lvlJc w:val="left"/>
      <w:pPr>
        <w:tabs>
          <w:tab w:val="num" w:pos="2460"/>
        </w:tabs>
        <w:ind w:left="2460" w:hanging="360"/>
      </w:pPr>
      <w:rPr>
        <w:rFonts w:ascii="Symbol" w:hAnsi="Symbol" w:hint="default"/>
      </w:rPr>
    </w:lvl>
    <w:lvl w:ilvl="4" w:tplc="04020003" w:tentative="1">
      <w:start w:val="1"/>
      <w:numFmt w:val="bullet"/>
      <w:lvlText w:val="o"/>
      <w:lvlJc w:val="left"/>
      <w:pPr>
        <w:tabs>
          <w:tab w:val="num" w:pos="3180"/>
        </w:tabs>
        <w:ind w:left="3180" w:hanging="360"/>
      </w:pPr>
      <w:rPr>
        <w:rFonts w:ascii="Courier New" w:hAnsi="Courier New" w:hint="default"/>
      </w:rPr>
    </w:lvl>
    <w:lvl w:ilvl="5" w:tplc="04020005" w:tentative="1">
      <w:start w:val="1"/>
      <w:numFmt w:val="bullet"/>
      <w:lvlText w:val=""/>
      <w:lvlJc w:val="left"/>
      <w:pPr>
        <w:tabs>
          <w:tab w:val="num" w:pos="3900"/>
        </w:tabs>
        <w:ind w:left="3900" w:hanging="360"/>
      </w:pPr>
      <w:rPr>
        <w:rFonts w:ascii="Wingdings" w:hAnsi="Wingdings" w:hint="default"/>
      </w:rPr>
    </w:lvl>
    <w:lvl w:ilvl="6" w:tplc="04020001" w:tentative="1">
      <w:start w:val="1"/>
      <w:numFmt w:val="bullet"/>
      <w:lvlText w:val=""/>
      <w:lvlJc w:val="left"/>
      <w:pPr>
        <w:tabs>
          <w:tab w:val="num" w:pos="4620"/>
        </w:tabs>
        <w:ind w:left="4620" w:hanging="360"/>
      </w:pPr>
      <w:rPr>
        <w:rFonts w:ascii="Symbol" w:hAnsi="Symbol" w:hint="default"/>
      </w:rPr>
    </w:lvl>
    <w:lvl w:ilvl="7" w:tplc="04020003" w:tentative="1">
      <w:start w:val="1"/>
      <w:numFmt w:val="bullet"/>
      <w:lvlText w:val="o"/>
      <w:lvlJc w:val="left"/>
      <w:pPr>
        <w:tabs>
          <w:tab w:val="num" w:pos="5340"/>
        </w:tabs>
        <w:ind w:left="5340" w:hanging="360"/>
      </w:pPr>
      <w:rPr>
        <w:rFonts w:ascii="Courier New" w:hAnsi="Courier New" w:hint="default"/>
      </w:rPr>
    </w:lvl>
    <w:lvl w:ilvl="8" w:tplc="04020005" w:tentative="1">
      <w:start w:val="1"/>
      <w:numFmt w:val="bullet"/>
      <w:lvlText w:val=""/>
      <w:lvlJc w:val="left"/>
      <w:pPr>
        <w:tabs>
          <w:tab w:val="num" w:pos="6060"/>
        </w:tabs>
        <w:ind w:left="6060" w:hanging="360"/>
      </w:pPr>
      <w:rPr>
        <w:rFonts w:ascii="Wingdings" w:hAnsi="Wingdings" w:hint="default"/>
      </w:rPr>
    </w:lvl>
  </w:abstractNum>
  <w:abstractNum w:abstractNumId="7">
    <w:nsid w:val="1D921883"/>
    <w:multiLevelType w:val="hybridMultilevel"/>
    <w:tmpl w:val="A97A49C8"/>
    <w:lvl w:ilvl="0" w:tplc="91227172">
      <w:start w:val="1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F4D0930"/>
    <w:multiLevelType w:val="hybridMultilevel"/>
    <w:tmpl w:val="73061BD0"/>
    <w:lvl w:ilvl="0" w:tplc="6B283420">
      <w:start w:val="1"/>
      <w:numFmt w:val="bullet"/>
      <w:lvlText w:val="-"/>
      <w:lvlJc w:val="left"/>
      <w:pPr>
        <w:tabs>
          <w:tab w:val="num" w:pos="360"/>
        </w:tabs>
        <w:ind w:left="360" w:hanging="360"/>
      </w:pPr>
      <w:rPr>
        <w:rFonts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nsid w:val="1F9C6234"/>
    <w:multiLevelType w:val="hybridMultilevel"/>
    <w:tmpl w:val="7318F062"/>
    <w:lvl w:ilvl="0" w:tplc="EACAC680">
      <w:start w:val="12"/>
      <w:numFmt w:val="bullet"/>
      <w:lvlText w:val="-"/>
      <w:lvlJc w:val="left"/>
      <w:pPr>
        <w:tabs>
          <w:tab w:val="num" w:pos="360"/>
        </w:tabs>
        <w:ind w:left="360" w:hanging="360"/>
      </w:pPr>
      <w:rPr>
        <w:rFonts w:ascii="Times New Roman" w:eastAsia="Times New Roman" w:hAnsi="Times New Roman" w:cs="Times New Roman" w:hint="default"/>
      </w:rPr>
    </w:lvl>
    <w:lvl w:ilvl="1" w:tplc="04020003" w:tentative="1">
      <w:start w:val="1"/>
      <w:numFmt w:val="bullet"/>
      <w:lvlText w:val="o"/>
      <w:lvlJc w:val="left"/>
      <w:pPr>
        <w:tabs>
          <w:tab w:val="num" w:pos="1020"/>
        </w:tabs>
        <w:ind w:left="1020" w:hanging="360"/>
      </w:pPr>
      <w:rPr>
        <w:rFonts w:ascii="Courier New" w:hAnsi="Courier New" w:hint="default"/>
      </w:rPr>
    </w:lvl>
    <w:lvl w:ilvl="2" w:tplc="04020005" w:tentative="1">
      <w:start w:val="1"/>
      <w:numFmt w:val="bullet"/>
      <w:lvlText w:val=""/>
      <w:lvlJc w:val="left"/>
      <w:pPr>
        <w:tabs>
          <w:tab w:val="num" w:pos="1740"/>
        </w:tabs>
        <w:ind w:left="1740" w:hanging="360"/>
      </w:pPr>
      <w:rPr>
        <w:rFonts w:ascii="Wingdings" w:hAnsi="Wingdings" w:hint="default"/>
      </w:rPr>
    </w:lvl>
    <w:lvl w:ilvl="3" w:tplc="04020001" w:tentative="1">
      <w:start w:val="1"/>
      <w:numFmt w:val="bullet"/>
      <w:lvlText w:val=""/>
      <w:lvlJc w:val="left"/>
      <w:pPr>
        <w:tabs>
          <w:tab w:val="num" w:pos="2460"/>
        </w:tabs>
        <w:ind w:left="2460" w:hanging="360"/>
      </w:pPr>
      <w:rPr>
        <w:rFonts w:ascii="Symbol" w:hAnsi="Symbol" w:hint="default"/>
      </w:rPr>
    </w:lvl>
    <w:lvl w:ilvl="4" w:tplc="04020003" w:tentative="1">
      <w:start w:val="1"/>
      <w:numFmt w:val="bullet"/>
      <w:lvlText w:val="o"/>
      <w:lvlJc w:val="left"/>
      <w:pPr>
        <w:tabs>
          <w:tab w:val="num" w:pos="3180"/>
        </w:tabs>
        <w:ind w:left="3180" w:hanging="360"/>
      </w:pPr>
      <w:rPr>
        <w:rFonts w:ascii="Courier New" w:hAnsi="Courier New" w:hint="default"/>
      </w:rPr>
    </w:lvl>
    <w:lvl w:ilvl="5" w:tplc="04020005" w:tentative="1">
      <w:start w:val="1"/>
      <w:numFmt w:val="bullet"/>
      <w:lvlText w:val=""/>
      <w:lvlJc w:val="left"/>
      <w:pPr>
        <w:tabs>
          <w:tab w:val="num" w:pos="3900"/>
        </w:tabs>
        <w:ind w:left="3900" w:hanging="360"/>
      </w:pPr>
      <w:rPr>
        <w:rFonts w:ascii="Wingdings" w:hAnsi="Wingdings" w:hint="default"/>
      </w:rPr>
    </w:lvl>
    <w:lvl w:ilvl="6" w:tplc="04020001" w:tentative="1">
      <w:start w:val="1"/>
      <w:numFmt w:val="bullet"/>
      <w:lvlText w:val=""/>
      <w:lvlJc w:val="left"/>
      <w:pPr>
        <w:tabs>
          <w:tab w:val="num" w:pos="4620"/>
        </w:tabs>
        <w:ind w:left="4620" w:hanging="360"/>
      </w:pPr>
      <w:rPr>
        <w:rFonts w:ascii="Symbol" w:hAnsi="Symbol" w:hint="default"/>
      </w:rPr>
    </w:lvl>
    <w:lvl w:ilvl="7" w:tplc="04020003" w:tentative="1">
      <w:start w:val="1"/>
      <w:numFmt w:val="bullet"/>
      <w:lvlText w:val="o"/>
      <w:lvlJc w:val="left"/>
      <w:pPr>
        <w:tabs>
          <w:tab w:val="num" w:pos="5340"/>
        </w:tabs>
        <w:ind w:left="5340" w:hanging="360"/>
      </w:pPr>
      <w:rPr>
        <w:rFonts w:ascii="Courier New" w:hAnsi="Courier New" w:hint="default"/>
      </w:rPr>
    </w:lvl>
    <w:lvl w:ilvl="8" w:tplc="04020005" w:tentative="1">
      <w:start w:val="1"/>
      <w:numFmt w:val="bullet"/>
      <w:lvlText w:val=""/>
      <w:lvlJc w:val="left"/>
      <w:pPr>
        <w:tabs>
          <w:tab w:val="num" w:pos="6060"/>
        </w:tabs>
        <w:ind w:left="6060" w:hanging="360"/>
      </w:pPr>
      <w:rPr>
        <w:rFonts w:ascii="Wingdings" w:hAnsi="Wingdings" w:hint="default"/>
      </w:rPr>
    </w:lvl>
  </w:abstractNum>
  <w:abstractNum w:abstractNumId="10">
    <w:nsid w:val="2323355F"/>
    <w:multiLevelType w:val="hybridMultilevel"/>
    <w:tmpl w:val="AFC48DD2"/>
    <w:lvl w:ilvl="0" w:tplc="4A702700">
      <w:start w:val="1"/>
      <w:numFmt w:val="bullet"/>
      <w:lvlText w:val="-"/>
      <w:lvlJc w:val="left"/>
      <w:pPr>
        <w:ind w:left="1353" w:hanging="360"/>
      </w:pPr>
      <w:rPr>
        <w:rFonts w:ascii="Times New Roman" w:eastAsia="Times New Roman" w:hAnsi="Times New Roman" w:cs="Times New Roman" w:hint="default"/>
      </w:rPr>
    </w:lvl>
    <w:lvl w:ilvl="1" w:tplc="04020003">
      <w:start w:val="1"/>
      <w:numFmt w:val="bullet"/>
      <w:lvlText w:val="o"/>
      <w:lvlJc w:val="left"/>
      <w:pPr>
        <w:ind w:left="2073" w:hanging="360"/>
      </w:pPr>
      <w:rPr>
        <w:rFonts w:ascii="Courier New" w:hAnsi="Courier New" w:cs="Courier New" w:hint="default"/>
      </w:rPr>
    </w:lvl>
    <w:lvl w:ilvl="2" w:tplc="04020005">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11">
    <w:nsid w:val="2D222241"/>
    <w:multiLevelType w:val="hybridMultilevel"/>
    <w:tmpl w:val="B63C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2C6C8B"/>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FFC5F28"/>
    <w:multiLevelType w:val="hybridMultilevel"/>
    <w:tmpl w:val="0F7A37D6"/>
    <w:lvl w:ilvl="0" w:tplc="5BA8D9D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406C1F90"/>
    <w:multiLevelType w:val="hybridMultilevel"/>
    <w:tmpl w:val="3312A1F2"/>
    <w:lvl w:ilvl="0" w:tplc="CB5299B4">
      <w:start w:val="5"/>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5">
    <w:nsid w:val="49AC17D8"/>
    <w:multiLevelType w:val="hybridMultilevel"/>
    <w:tmpl w:val="D24A22AE"/>
    <w:lvl w:ilvl="0" w:tplc="D8302B3C">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4AF56BAA"/>
    <w:multiLevelType w:val="multilevel"/>
    <w:tmpl w:val="F60479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CED5563"/>
    <w:multiLevelType w:val="hybridMultilevel"/>
    <w:tmpl w:val="22A45D88"/>
    <w:lvl w:ilvl="0" w:tplc="0402000F">
      <w:start w:val="1"/>
      <w:numFmt w:val="decimal"/>
      <w:lvlText w:val="%1."/>
      <w:lvlJc w:val="left"/>
      <w:pPr>
        <w:ind w:left="1500" w:hanging="360"/>
      </w:pPr>
    </w:lvl>
    <w:lvl w:ilvl="1" w:tplc="04020019" w:tentative="1">
      <w:start w:val="1"/>
      <w:numFmt w:val="lowerLetter"/>
      <w:lvlText w:val="%2."/>
      <w:lvlJc w:val="left"/>
      <w:pPr>
        <w:ind w:left="2220" w:hanging="360"/>
      </w:pPr>
    </w:lvl>
    <w:lvl w:ilvl="2" w:tplc="0402001B" w:tentative="1">
      <w:start w:val="1"/>
      <w:numFmt w:val="lowerRoman"/>
      <w:lvlText w:val="%3."/>
      <w:lvlJc w:val="right"/>
      <w:pPr>
        <w:ind w:left="2940" w:hanging="180"/>
      </w:pPr>
    </w:lvl>
    <w:lvl w:ilvl="3" w:tplc="0402000F" w:tentative="1">
      <w:start w:val="1"/>
      <w:numFmt w:val="decimal"/>
      <w:lvlText w:val="%4."/>
      <w:lvlJc w:val="left"/>
      <w:pPr>
        <w:ind w:left="3660" w:hanging="360"/>
      </w:pPr>
    </w:lvl>
    <w:lvl w:ilvl="4" w:tplc="04020019" w:tentative="1">
      <w:start w:val="1"/>
      <w:numFmt w:val="lowerLetter"/>
      <w:lvlText w:val="%5."/>
      <w:lvlJc w:val="left"/>
      <w:pPr>
        <w:ind w:left="4380" w:hanging="360"/>
      </w:pPr>
    </w:lvl>
    <w:lvl w:ilvl="5" w:tplc="0402001B" w:tentative="1">
      <w:start w:val="1"/>
      <w:numFmt w:val="lowerRoman"/>
      <w:lvlText w:val="%6."/>
      <w:lvlJc w:val="right"/>
      <w:pPr>
        <w:ind w:left="5100" w:hanging="180"/>
      </w:pPr>
    </w:lvl>
    <w:lvl w:ilvl="6" w:tplc="0402000F" w:tentative="1">
      <w:start w:val="1"/>
      <w:numFmt w:val="decimal"/>
      <w:lvlText w:val="%7."/>
      <w:lvlJc w:val="left"/>
      <w:pPr>
        <w:ind w:left="5820" w:hanging="360"/>
      </w:pPr>
    </w:lvl>
    <w:lvl w:ilvl="7" w:tplc="04020019" w:tentative="1">
      <w:start w:val="1"/>
      <w:numFmt w:val="lowerLetter"/>
      <w:lvlText w:val="%8."/>
      <w:lvlJc w:val="left"/>
      <w:pPr>
        <w:ind w:left="6540" w:hanging="360"/>
      </w:pPr>
    </w:lvl>
    <w:lvl w:ilvl="8" w:tplc="0402001B" w:tentative="1">
      <w:start w:val="1"/>
      <w:numFmt w:val="lowerRoman"/>
      <w:lvlText w:val="%9."/>
      <w:lvlJc w:val="right"/>
      <w:pPr>
        <w:ind w:left="7260" w:hanging="180"/>
      </w:pPr>
    </w:lvl>
  </w:abstractNum>
  <w:abstractNum w:abstractNumId="18">
    <w:nsid w:val="50767892"/>
    <w:multiLevelType w:val="hybridMultilevel"/>
    <w:tmpl w:val="86423082"/>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nsid w:val="54F63C3A"/>
    <w:multiLevelType w:val="hybridMultilevel"/>
    <w:tmpl w:val="83C6CD6E"/>
    <w:lvl w:ilvl="0" w:tplc="70FCDE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6C38CE"/>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15652E"/>
    <w:multiLevelType w:val="hybridMultilevel"/>
    <w:tmpl w:val="25F6A70A"/>
    <w:lvl w:ilvl="0" w:tplc="D8302B3C">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0F856D4"/>
    <w:multiLevelType w:val="hybridMultilevel"/>
    <w:tmpl w:val="81226EAC"/>
    <w:lvl w:ilvl="0" w:tplc="6B283420">
      <w:start w:val="1"/>
      <w:numFmt w:val="bullet"/>
      <w:lvlText w:val="-"/>
      <w:lvlJc w:val="left"/>
      <w:pPr>
        <w:tabs>
          <w:tab w:val="num" w:pos="360"/>
        </w:tabs>
        <w:ind w:left="360" w:hanging="360"/>
      </w:pPr>
      <w:rPr>
        <w:rFonts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3">
    <w:nsid w:val="689E3DC5"/>
    <w:multiLevelType w:val="hybridMultilevel"/>
    <w:tmpl w:val="F3AE1B04"/>
    <w:lvl w:ilvl="0" w:tplc="CE180624">
      <w:start w:val="2"/>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4">
    <w:nsid w:val="6AE52597"/>
    <w:multiLevelType w:val="multilevel"/>
    <w:tmpl w:val="60E83A94"/>
    <w:lvl w:ilvl="0">
      <w:start w:val="3"/>
      <w:numFmt w:val="decimal"/>
      <w:lvlText w:val="%1."/>
      <w:lvlJc w:val="left"/>
      <w:pPr>
        <w:ind w:left="624" w:hanging="624"/>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6B463863"/>
    <w:multiLevelType w:val="hybridMultilevel"/>
    <w:tmpl w:val="C2C23A0A"/>
    <w:lvl w:ilvl="0" w:tplc="A2C279EC">
      <w:start w:val="3"/>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6">
    <w:nsid w:val="6C3F7903"/>
    <w:multiLevelType w:val="multilevel"/>
    <w:tmpl w:val="C69C00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E381FF7"/>
    <w:multiLevelType w:val="hybridMultilevel"/>
    <w:tmpl w:val="3D6CB43C"/>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7459391F"/>
    <w:multiLevelType w:val="hybridMultilevel"/>
    <w:tmpl w:val="A7C022D0"/>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7E141820"/>
    <w:multiLevelType w:val="hybridMultilevel"/>
    <w:tmpl w:val="486A6D72"/>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
  </w:num>
  <w:num w:numId="3">
    <w:abstractNumId w:val="29"/>
  </w:num>
  <w:num w:numId="4">
    <w:abstractNumId w:val="10"/>
  </w:num>
  <w:num w:numId="5">
    <w:abstractNumId w:val="18"/>
  </w:num>
  <w:num w:numId="6">
    <w:abstractNumId w:val="1"/>
  </w:num>
  <w:num w:numId="7">
    <w:abstractNumId w:val="11"/>
  </w:num>
  <w:num w:numId="8">
    <w:abstractNumId w:val="13"/>
  </w:num>
  <w:num w:numId="9">
    <w:abstractNumId w:val="0"/>
  </w:num>
  <w:num w:numId="10">
    <w:abstractNumId w:val="19"/>
  </w:num>
  <w:num w:numId="11">
    <w:abstractNumId w:val="12"/>
  </w:num>
  <w:num w:numId="12">
    <w:abstractNumId w:val="3"/>
  </w:num>
  <w:num w:numId="13">
    <w:abstractNumId w:val="8"/>
  </w:num>
  <w:num w:numId="14">
    <w:abstractNumId w:val="22"/>
  </w:num>
  <w:num w:numId="15">
    <w:abstractNumId w:val="9"/>
  </w:num>
  <w:num w:numId="16">
    <w:abstractNumId w:val="6"/>
  </w:num>
  <w:num w:numId="17">
    <w:abstractNumId w:val="26"/>
  </w:num>
  <w:num w:numId="18">
    <w:abstractNumId w:val="7"/>
  </w:num>
  <w:num w:numId="19">
    <w:abstractNumId w:val="21"/>
  </w:num>
  <w:num w:numId="20">
    <w:abstractNumId w:val="27"/>
  </w:num>
  <w:num w:numId="21">
    <w:abstractNumId w:val="28"/>
  </w:num>
  <w:num w:numId="22">
    <w:abstractNumId w:val="4"/>
  </w:num>
  <w:num w:numId="23">
    <w:abstractNumId w:val="16"/>
  </w:num>
  <w:num w:numId="24">
    <w:abstractNumId w:val="15"/>
  </w:num>
  <w:num w:numId="25">
    <w:abstractNumId w:val="23"/>
  </w:num>
  <w:num w:numId="26">
    <w:abstractNumId w:val="5"/>
  </w:num>
  <w:num w:numId="27">
    <w:abstractNumId w:val="24"/>
  </w:num>
  <w:num w:numId="28">
    <w:abstractNumId w:val="17"/>
  </w:num>
  <w:num w:numId="29">
    <w:abstractNumId w:val="25"/>
  </w:num>
  <w:num w:numId="3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B1"/>
    <w:rsid w:val="00000197"/>
    <w:rsid w:val="00000394"/>
    <w:rsid w:val="00001620"/>
    <w:rsid w:val="00002EB0"/>
    <w:rsid w:val="00003BB9"/>
    <w:rsid w:val="00003CF0"/>
    <w:rsid w:val="00004D24"/>
    <w:rsid w:val="00004ED4"/>
    <w:rsid w:val="00005B9E"/>
    <w:rsid w:val="0000793A"/>
    <w:rsid w:val="00007A2C"/>
    <w:rsid w:val="00007D9A"/>
    <w:rsid w:val="0001043B"/>
    <w:rsid w:val="000115A9"/>
    <w:rsid w:val="00013F09"/>
    <w:rsid w:val="0001460B"/>
    <w:rsid w:val="00014788"/>
    <w:rsid w:val="000169F0"/>
    <w:rsid w:val="000231F8"/>
    <w:rsid w:val="00024F16"/>
    <w:rsid w:val="00025639"/>
    <w:rsid w:val="0002674C"/>
    <w:rsid w:val="00030119"/>
    <w:rsid w:val="000301EA"/>
    <w:rsid w:val="00030653"/>
    <w:rsid w:val="00030C9C"/>
    <w:rsid w:val="0003115B"/>
    <w:rsid w:val="00031A8C"/>
    <w:rsid w:val="00031D4A"/>
    <w:rsid w:val="00032BF1"/>
    <w:rsid w:val="000337E9"/>
    <w:rsid w:val="00034230"/>
    <w:rsid w:val="00035BF0"/>
    <w:rsid w:val="000409A1"/>
    <w:rsid w:val="00041544"/>
    <w:rsid w:val="00043FB8"/>
    <w:rsid w:val="0004418A"/>
    <w:rsid w:val="00044DFD"/>
    <w:rsid w:val="000453BA"/>
    <w:rsid w:val="0004629F"/>
    <w:rsid w:val="00047C32"/>
    <w:rsid w:val="00050091"/>
    <w:rsid w:val="00050127"/>
    <w:rsid w:val="00050480"/>
    <w:rsid w:val="0005088E"/>
    <w:rsid w:val="00050D51"/>
    <w:rsid w:val="00051212"/>
    <w:rsid w:val="00051741"/>
    <w:rsid w:val="0005189B"/>
    <w:rsid w:val="00052675"/>
    <w:rsid w:val="000534B9"/>
    <w:rsid w:val="000553B8"/>
    <w:rsid w:val="00057EEE"/>
    <w:rsid w:val="0006081F"/>
    <w:rsid w:val="0006155D"/>
    <w:rsid w:val="0006180A"/>
    <w:rsid w:val="00061A9E"/>
    <w:rsid w:val="0006461B"/>
    <w:rsid w:val="00064F43"/>
    <w:rsid w:val="00065093"/>
    <w:rsid w:val="000659C7"/>
    <w:rsid w:val="00066376"/>
    <w:rsid w:val="00070FF8"/>
    <w:rsid w:val="00072B8F"/>
    <w:rsid w:val="0007304D"/>
    <w:rsid w:val="00076045"/>
    <w:rsid w:val="00076BB2"/>
    <w:rsid w:val="00076BEE"/>
    <w:rsid w:val="000807DF"/>
    <w:rsid w:val="0008232F"/>
    <w:rsid w:val="00083B75"/>
    <w:rsid w:val="0008430F"/>
    <w:rsid w:val="00084DA8"/>
    <w:rsid w:val="000850FD"/>
    <w:rsid w:val="00086BE6"/>
    <w:rsid w:val="00091B9D"/>
    <w:rsid w:val="0009248C"/>
    <w:rsid w:val="00092C32"/>
    <w:rsid w:val="00093CB8"/>
    <w:rsid w:val="00094A7C"/>
    <w:rsid w:val="00094C88"/>
    <w:rsid w:val="000968B1"/>
    <w:rsid w:val="0009715C"/>
    <w:rsid w:val="000978F4"/>
    <w:rsid w:val="000A085D"/>
    <w:rsid w:val="000A0E65"/>
    <w:rsid w:val="000A1006"/>
    <w:rsid w:val="000A29C9"/>
    <w:rsid w:val="000A3B8A"/>
    <w:rsid w:val="000A44DC"/>
    <w:rsid w:val="000A48F7"/>
    <w:rsid w:val="000A5300"/>
    <w:rsid w:val="000A6C79"/>
    <w:rsid w:val="000B0711"/>
    <w:rsid w:val="000B0A5C"/>
    <w:rsid w:val="000B0E7A"/>
    <w:rsid w:val="000B2CAC"/>
    <w:rsid w:val="000B3E65"/>
    <w:rsid w:val="000B4E79"/>
    <w:rsid w:val="000B5C62"/>
    <w:rsid w:val="000B5FCF"/>
    <w:rsid w:val="000B6C99"/>
    <w:rsid w:val="000B6CB1"/>
    <w:rsid w:val="000B6E53"/>
    <w:rsid w:val="000C0C0A"/>
    <w:rsid w:val="000C1ED2"/>
    <w:rsid w:val="000C2033"/>
    <w:rsid w:val="000C37C1"/>
    <w:rsid w:val="000C3E7C"/>
    <w:rsid w:val="000C6B54"/>
    <w:rsid w:val="000C7BDC"/>
    <w:rsid w:val="000C7DC3"/>
    <w:rsid w:val="000D043C"/>
    <w:rsid w:val="000D11C9"/>
    <w:rsid w:val="000D139D"/>
    <w:rsid w:val="000D1F24"/>
    <w:rsid w:val="000D3C1D"/>
    <w:rsid w:val="000D5C08"/>
    <w:rsid w:val="000D71BE"/>
    <w:rsid w:val="000D7807"/>
    <w:rsid w:val="000D7FAC"/>
    <w:rsid w:val="000E0306"/>
    <w:rsid w:val="000E15ED"/>
    <w:rsid w:val="000E24D4"/>
    <w:rsid w:val="000E266C"/>
    <w:rsid w:val="000E27CF"/>
    <w:rsid w:val="000E3776"/>
    <w:rsid w:val="000E528F"/>
    <w:rsid w:val="000E64D7"/>
    <w:rsid w:val="000E6E67"/>
    <w:rsid w:val="000E733F"/>
    <w:rsid w:val="000E76B2"/>
    <w:rsid w:val="000F0BDD"/>
    <w:rsid w:val="000F173A"/>
    <w:rsid w:val="000F2B1E"/>
    <w:rsid w:val="000F3895"/>
    <w:rsid w:val="000F39B0"/>
    <w:rsid w:val="000F3B2B"/>
    <w:rsid w:val="000F4269"/>
    <w:rsid w:val="000F4530"/>
    <w:rsid w:val="000F48CF"/>
    <w:rsid w:val="000F5F25"/>
    <w:rsid w:val="000F7193"/>
    <w:rsid w:val="000F79CE"/>
    <w:rsid w:val="0010018A"/>
    <w:rsid w:val="001008F1"/>
    <w:rsid w:val="001028C1"/>
    <w:rsid w:val="001028F7"/>
    <w:rsid w:val="00103C6B"/>
    <w:rsid w:val="00103CE2"/>
    <w:rsid w:val="00105073"/>
    <w:rsid w:val="00105BEE"/>
    <w:rsid w:val="00105C86"/>
    <w:rsid w:val="00105E90"/>
    <w:rsid w:val="00106C0C"/>
    <w:rsid w:val="00107ADC"/>
    <w:rsid w:val="001101A8"/>
    <w:rsid w:val="001106ED"/>
    <w:rsid w:val="00111437"/>
    <w:rsid w:val="00111693"/>
    <w:rsid w:val="00111F7B"/>
    <w:rsid w:val="00112E6B"/>
    <w:rsid w:val="00114FDA"/>
    <w:rsid w:val="00120E24"/>
    <w:rsid w:val="00121E57"/>
    <w:rsid w:val="00122A71"/>
    <w:rsid w:val="00125228"/>
    <w:rsid w:val="00125C80"/>
    <w:rsid w:val="00125D0C"/>
    <w:rsid w:val="00126219"/>
    <w:rsid w:val="00126ABF"/>
    <w:rsid w:val="00126D51"/>
    <w:rsid w:val="00126E4D"/>
    <w:rsid w:val="00126F02"/>
    <w:rsid w:val="00131C8C"/>
    <w:rsid w:val="00132B9C"/>
    <w:rsid w:val="00132E8E"/>
    <w:rsid w:val="00132F68"/>
    <w:rsid w:val="001333FF"/>
    <w:rsid w:val="00134F4D"/>
    <w:rsid w:val="001369FC"/>
    <w:rsid w:val="00136EFC"/>
    <w:rsid w:val="0013726B"/>
    <w:rsid w:val="001376AA"/>
    <w:rsid w:val="00137918"/>
    <w:rsid w:val="00137CCA"/>
    <w:rsid w:val="001407B1"/>
    <w:rsid w:val="00140F53"/>
    <w:rsid w:val="001427F5"/>
    <w:rsid w:val="00143109"/>
    <w:rsid w:val="00143716"/>
    <w:rsid w:val="00143CDC"/>
    <w:rsid w:val="00143EEA"/>
    <w:rsid w:val="0014605C"/>
    <w:rsid w:val="00146782"/>
    <w:rsid w:val="001472A9"/>
    <w:rsid w:val="00151627"/>
    <w:rsid w:val="00151CEC"/>
    <w:rsid w:val="00153641"/>
    <w:rsid w:val="00153C49"/>
    <w:rsid w:val="00153CEF"/>
    <w:rsid w:val="00154310"/>
    <w:rsid w:val="001548BD"/>
    <w:rsid w:val="00155F3F"/>
    <w:rsid w:val="00156E8C"/>
    <w:rsid w:val="0015716B"/>
    <w:rsid w:val="00157A71"/>
    <w:rsid w:val="0016135A"/>
    <w:rsid w:val="00161D6B"/>
    <w:rsid w:val="00161DFF"/>
    <w:rsid w:val="0016268A"/>
    <w:rsid w:val="0016317B"/>
    <w:rsid w:val="00164ABC"/>
    <w:rsid w:val="00165459"/>
    <w:rsid w:val="00165CE4"/>
    <w:rsid w:val="0016683A"/>
    <w:rsid w:val="00170A94"/>
    <w:rsid w:val="001724A4"/>
    <w:rsid w:val="00172B10"/>
    <w:rsid w:val="001737C2"/>
    <w:rsid w:val="00176BD7"/>
    <w:rsid w:val="00177AC9"/>
    <w:rsid w:val="001812F7"/>
    <w:rsid w:val="00183435"/>
    <w:rsid w:val="0018473D"/>
    <w:rsid w:val="00185C86"/>
    <w:rsid w:val="00187871"/>
    <w:rsid w:val="00187A54"/>
    <w:rsid w:val="00187FC2"/>
    <w:rsid w:val="0019077E"/>
    <w:rsid w:val="00191715"/>
    <w:rsid w:val="00192B17"/>
    <w:rsid w:val="00193152"/>
    <w:rsid w:val="00193417"/>
    <w:rsid w:val="00193792"/>
    <w:rsid w:val="00194CB8"/>
    <w:rsid w:val="00196A7A"/>
    <w:rsid w:val="001A10B1"/>
    <w:rsid w:val="001A1631"/>
    <w:rsid w:val="001A21C3"/>
    <w:rsid w:val="001A2234"/>
    <w:rsid w:val="001A40C2"/>
    <w:rsid w:val="001B2EE0"/>
    <w:rsid w:val="001B36AA"/>
    <w:rsid w:val="001B3E49"/>
    <w:rsid w:val="001B5266"/>
    <w:rsid w:val="001B6AB1"/>
    <w:rsid w:val="001B7383"/>
    <w:rsid w:val="001C015F"/>
    <w:rsid w:val="001C073C"/>
    <w:rsid w:val="001C07FE"/>
    <w:rsid w:val="001C08F3"/>
    <w:rsid w:val="001C0AC6"/>
    <w:rsid w:val="001C0BDE"/>
    <w:rsid w:val="001C0CD4"/>
    <w:rsid w:val="001C1086"/>
    <w:rsid w:val="001C3491"/>
    <w:rsid w:val="001C50FC"/>
    <w:rsid w:val="001C5F75"/>
    <w:rsid w:val="001C6B52"/>
    <w:rsid w:val="001C75EE"/>
    <w:rsid w:val="001C7A55"/>
    <w:rsid w:val="001C7A97"/>
    <w:rsid w:val="001D09EC"/>
    <w:rsid w:val="001D0B5A"/>
    <w:rsid w:val="001D19B0"/>
    <w:rsid w:val="001D3565"/>
    <w:rsid w:val="001D687A"/>
    <w:rsid w:val="001D6CD2"/>
    <w:rsid w:val="001D6EC9"/>
    <w:rsid w:val="001D79C3"/>
    <w:rsid w:val="001D7B4A"/>
    <w:rsid w:val="001E0887"/>
    <w:rsid w:val="001E3FB7"/>
    <w:rsid w:val="001E48A6"/>
    <w:rsid w:val="001E5240"/>
    <w:rsid w:val="001F1338"/>
    <w:rsid w:val="001F3048"/>
    <w:rsid w:val="001F3B97"/>
    <w:rsid w:val="001F4A94"/>
    <w:rsid w:val="001F4EAF"/>
    <w:rsid w:val="001F4F5B"/>
    <w:rsid w:val="001F506C"/>
    <w:rsid w:val="001F5119"/>
    <w:rsid w:val="001F57D4"/>
    <w:rsid w:val="001F6467"/>
    <w:rsid w:val="001F67E8"/>
    <w:rsid w:val="001F6AFD"/>
    <w:rsid w:val="001F6E67"/>
    <w:rsid w:val="001F6EAE"/>
    <w:rsid w:val="001F7160"/>
    <w:rsid w:val="00200B88"/>
    <w:rsid w:val="00204EBA"/>
    <w:rsid w:val="00205278"/>
    <w:rsid w:val="002052A9"/>
    <w:rsid w:val="00205E3F"/>
    <w:rsid w:val="0021063C"/>
    <w:rsid w:val="00210FE9"/>
    <w:rsid w:val="00211624"/>
    <w:rsid w:val="00213E7F"/>
    <w:rsid w:val="0021417F"/>
    <w:rsid w:val="002145AF"/>
    <w:rsid w:val="002145C0"/>
    <w:rsid w:val="00215ED0"/>
    <w:rsid w:val="002163CC"/>
    <w:rsid w:val="00216FFC"/>
    <w:rsid w:val="00220334"/>
    <w:rsid w:val="00222A37"/>
    <w:rsid w:val="0022365A"/>
    <w:rsid w:val="00224D80"/>
    <w:rsid w:val="0022714A"/>
    <w:rsid w:val="002309E9"/>
    <w:rsid w:val="00230E39"/>
    <w:rsid w:val="00230E98"/>
    <w:rsid w:val="00231C6B"/>
    <w:rsid w:val="002325A3"/>
    <w:rsid w:val="00232B7D"/>
    <w:rsid w:val="002347A2"/>
    <w:rsid w:val="00234B4A"/>
    <w:rsid w:val="0023606E"/>
    <w:rsid w:val="00237204"/>
    <w:rsid w:val="00237BC8"/>
    <w:rsid w:val="0024057E"/>
    <w:rsid w:val="00242F63"/>
    <w:rsid w:val="0024413F"/>
    <w:rsid w:val="00244BFD"/>
    <w:rsid w:val="002455DD"/>
    <w:rsid w:val="00245C8D"/>
    <w:rsid w:val="00246160"/>
    <w:rsid w:val="002472B1"/>
    <w:rsid w:val="00250015"/>
    <w:rsid w:val="002500E7"/>
    <w:rsid w:val="0025139B"/>
    <w:rsid w:val="00251820"/>
    <w:rsid w:val="00252E28"/>
    <w:rsid w:val="00253787"/>
    <w:rsid w:val="00253A0E"/>
    <w:rsid w:val="00256E55"/>
    <w:rsid w:val="002575FA"/>
    <w:rsid w:val="002579C2"/>
    <w:rsid w:val="00260566"/>
    <w:rsid w:val="00261BCB"/>
    <w:rsid w:val="0026201E"/>
    <w:rsid w:val="0026217D"/>
    <w:rsid w:val="002624D0"/>
    <w:rsid w:val="00263044"/>
    <w:rsid w:val="002643F1"/>
    <w:rsid w:val="00264ECA"/>
    <w:rsid w:val="0026680E"/>
    <w:rsid w:val="00266A76"/>
    <w:rsid w:val="00267100"/>
    <w:rsid w:val="00267B72"/>
    <w:rsid w:val="002705DF"/>
    <w:rsid w:val="002708B7"/>
    <w:rsid w:val="002709D4"/>
    <w:rsid w:val="00272027"/>
    <w:rsid w:val="00274833"/>
    <w:rsid w:val="00274982"/>
    <w:rsid w:val="002759EB"/>
    <w:rsid w:val="00280514"/>
    <w:rsid w:val="002806B6"/>
    <w:rsid w:val="0028166A"/>
    <w:rsid w:val="00281DFE"/>
    <w:rsid w:val="002836E3"/>
    <w:rsid w:val="00284642"/>
    <w:rsid w:val="00284AB5"/>
    <w:rsid w:val="00284E4C"/>
    <w:rsid w:val="0028749A"/>
    <w:rsid w:val="00290559"/>
    <w:rsid w:val="00294470"/>
    <w:rsid w:val="0029462F"/>
    <w:rsid w:val="00295C49"/>
    <w:rsid w:val="0029608B"/>
    <w:rsid w:val="00296DA2"/>
    <w:rsid w:val="0029705C"/>
    <w:rsid w:val="0029712A"/>
    <w:rsid w:val="00297C8B"/>
    <w:rsid w:val="002A18BB"/>
    <w:rsid w:val="002A2037"/>
    <w:rsid w:val="002A35B4"/>
    <w:rsid w:val="002A382A"/>
    <w:rsid w:val="002A4BD0"/>
    <w:rsid w:val="002A60BC"/>
    <w:rsid w:val="002A75D1"/>
    <w:rsid w:val="002B1726"/>
    <w:rsid w:val="002B3008"/>
    <w:rsid w:val="002B3638"/>
    <w:rsid w:val="002B3AA0"/>
    <w:rsid w:val="002B3C9E"/>
    <w:rsid w:val="002B47B4"/>
    <w:rsid w:val="002B4BA9"/>
    <w:rsid w:val="002B4F5F"/>
    <w:rsid w:val="002B58B1"/>
    <w:rsid w:val="002B5EC5"/>
    <w:rsid w:val="002B6869"/>
    <w:rsid w:val="002B7CE6"/>
    <w:rsid w:val="002C07A7"/>
    <w:rsid w:val="002C08E5"/>
    <w:rsid w:val="002C22A0"/>
    <w:rsid w:val="002C277B"/>
    <w:rsid w:val="002C2E1C"/>
    <w:rsid w:val="002C33B3"/>
    <w:rsid w:val="002C448F"/>
    <w:rsid w:val="002C4B33"/>
    <w:rsid w:val="002C6263"/>
    <w:rsid w:val="002C62F4"/>
    <w:rsid w:val="002C6D30"/>
    <w:rsid w:val="002D138A"/>
    <w:rsid w:val="002D18A2"/>
    <w:rsid w:val="002D1BB3"/>
    <w:rsid w:val="002D3CC2"/>
    <w:rsid w:val="002D4B6A"/>
    <w:rsid w:val="002D54C2"/>
    <w:rsid w:val="002E1D10"/>
    <w:rsid w:val="002E2406"/>
    <w:rsid w:val="002E367E"/>
    <w:rsid w:val="002E3F64"/>
    <w:rsid w:val="002E53B9"/>
    <w:rsid w:val="002E5982"/>
    <w:rsid w:val="002E611C"/>
    <w:rsid w:val="002E634F"/>
    <w:rsid w:val="002E759A"/>
    <w:rsid w:val="002E784C"/>
    <w:rsid w:val="002F0B90"/>
    <w:rsid w:val="002F148C"/>
    <w:rsid w:val="002F2236"/>
    <w:rsid w:val="002F366F"/>
    <w:rsid w:val="002F38F1"/>
    <w:rsid w:val="002F3A94"/>
    <w:rsid w:val="002F3B1E"/>
    <w:rsid w:val="002F3F48"/>
    <w:rsid w:val="002F4672"/>
    <w:rsid w:val="002F469E"/>
    <w:rsid w:val="002F6DF2"/>
    <w:rsid w:val="00300850"/>
    <w:rsid w:val="003026DE"/>
    <w:rsid w:val="00302CD6"/>
    <w:rsid w:val="00303BC8"/>
    <w:rsid w:val="003042E0"/>
    <w:rsid w:val="003046F0"/>
    <w:rsid w:val="00305DDB"/>
    <w:rsid w:val="00311677"/>
    <w:rsid w:val="003116BD"/>
    <w:rsid w:val="00312A31"/>
    <w:rsid w:val="003139BE"/>
    <w:rsid w:val="003140CA"/>
    <w:rsid w:val="0031563F"/>
    <w:rsid w:val="00316792"/>
    <w:rsid w:val="00316CEC"/>
    <w:rsid w:val="00317963"/>
    <w:rsid w:val="00321C67"/>
    <w:rsid w:val="00322459"/>
    <w:rsid w:val="003228DC"/>
    <w:rsid w:val="00322E88"/>
    <w:rsid w:val="0032392D"/>
    <w:rsid w:val="00323C49"/>
    <w:rsid w:val="00323E9F"/>
    <w:rsid w:val="0032490A"/>
    <w:rsid w:val="00324F0A"/>
    <w:rsid w:val="00325CC3"/>
    <w:rsid w:val="00326D21"/>
    <w:rsid w:val="003272EC"/>
    <w:rsid w:val="003273B2"/>
    <w:rsid w:val="00331FD5"/>
    <w:rsid w:val="00333B66"/>
    <w:rsid w:val="00333DA8"/>
    <w:rsid w:val="00333F4D"/>
    <w:rsid w:val="00335AD7"/>
    <w:rsid w:val="00336A40"/>
    <w:rsid w:val="00340550"/>
    <w:rsid w:val="00341037"/>
    <w:rsid w:val="00341C34"/>
    <w:rsid w:val="003429B7"/>
    <w:rsid w:val="00342B4D"/>
    <w:rsid w:val="00345DE7"/>
    <w:rsid w:val="00347CC2"/>
    <w:rsid w:val="00347F47"/>
    <w:rsid w:val="0035007C"/>
    <w:rsid w:val="00350F2C"/>
    <w:rsid w:val="003515F3"/>
    <w:rsid w:val="00351C7B"/>
    <w:rsid w:val="0035201E"/>
    <w:rsid w:val="00353F5A"/>
    <w:rsid w:val="0035525C"/>
    <w:rsid w:val="0035532D"/>
    <w:rsid w:val="00356739"/>
    <w:rsid w:val="00356774"/>
    <w:rsid w:val="00356B86"/>
    <w:rsid w:val="00357A86"/>
    <w:rsid w:val="003615F3"/>
    <w:rsid w:val="00363156"/>
    <w:rsid w:val="003635B1"/>
    <w:rsid w:val="00363F09"/>
    <w:rsid w:val="00364537"/>
    <w:rsid w:val="00365CFA"/>
    <w:rsid w:val="003665A2"/>
    <w:rsid w:val="0036706A"/>
    <w:rsid w:val="0037093D"/>
    <w:rsid w:val="00370BCD"/>
    <w:rsid w:val="0037133D"/>
    <w:rsid w:val="0037199F"/>
    <w:rsid w:val="00371A4E"/>
    <w:rsid w:val="00371D3E"/>
    <w:rsid w:val="003721FA"/>
    <w:rsid w:val="0037285F"/>
    <w:rsid w:val="00372F62"/>
    <w:rsid w:val="00374478"/>
    <w:rsid w:val="003750CE"/>
    <w:rsid w:val="00377514"/>
    <w:rsid w:val="003807C9"/>
    <w:rsid w:val="00380DE3"/>
    <w:rsid w:val="00383FCC"/>
    <w:rsid w:val="00384210"/>
    <w:rsid w:val="00384F72"/>
    <w:rsid w:val="00384FEA"/>
    <w:rsid w:val="0038561F"/>
    <w:rsid w:val="00385E4E"/>
    <w:rsid w:val="00390822"/>
    <w:rsid w:val="00391B57"/>
    <w:rsid w:val="0039200E"/>
    <w:rsid w:val="00392A5B"/>
    <w:rsid w:val="00393E4C"/>
    <w:rsid w:val="00396874"/>
    <w:rsid w:val="003974D6"/>
    <w:rsid w:val="003975EC"/>
    <w:rsid w:val="003A20DA"/>
    <w:rsid w:val="003A23A1"/>
    <w:rsid w:val="003A2D4B"/>
    <w:rsid w:val="003A2F8C"/>
    <w:rsid w:val="003A3B4D"/>
    <w:rsid w:val="003A4E3A"/>
    <w:rsid w:val="003A5150"/>
    <w:rsid w:val="003A62F7"/>
    <w:rsid w:val="003A69A8"/>
    <w:rsid w:val="003A71D9"/>
    <w:rsid w:val="003A76CA"/>
    <w:rsid w:val="003B2B99"/>
    <w:rsid w:val="003B5067"/>
    <w:rsid w:val="003B61A8"/>
    <w:rsid w:val="003B6561"/>
    <w:rsid w:val="003C1DEB"/>
    <w:rsid w:val="003C1FA4"/>
    <w:rsid w:val="003C2424"/>
    <w:rsid w:val="003C25DD"/>
    <w:rsid w:val="003C3D76"/>
    <w:rsid w:val="003C3FFC"/>
    <w:rsid w:val="003D13E6"/>
    <w:rsid w:val="003D18FC"/>
    <w:rsid w:val="003D2862"/>
    <w:rsid w:val="003D4610"/>
    <w:rsid w:val="003D53DA"/>
    <w:rsid w:val="003D54AF"/>
    <w:rsid w:val="003D562F"/>
    <w:rsid w:val="003D58D9"/>
    <w:rsid w:val="003D7F6B"/>
    <w:rsid w:val="003E05FD"/>
    <w:rsid w:val="003E08A5"/>
    <w:rsid w:val="003E0BAC"/>
    <w:rsid w:val="003E11F7"/>
    <w:rsid w:val="003E1A50"/>
    <w:rsid w:val="003E34D6"/>
    <w:rsid w:val="003E38CC"/>
    <w:rsid w:val="003E44C0"/>
    <w:rsid w:val="003E462F"/>
    <w:rsid w:val="003E5357"/>
    <w:rsid w:val="003E5AB2"/>
    <w:rsid w:val="003E6A13"/>
    <w:rsid w:val="003F21F7"/>
    <w:rsid w:val="003F2354"/>
    <w:rsid w:val="003F294E"/>
    <w:rsid w:val="003F5861"/>
    <w:rsid w:val="003F58E8"/>
    <w:rsid w:val="003F6C91"/>
    <w:rsid w:val="00400C93"/>
    <w:rsid w:val="00401464"/>
    <w:rsid w:val="004027D6"/>
    <w:rsid w:val="00402F8E"/>
    <w:rsid w:val="00403266"/>
    <w:rsid w:val="00403716"/>
    <w:rsid w:val="00403863"/>
    <w:rsid w:val="00404799"/>
    <w:rsid w:val="00406230"/>
    <w:rsid w:val="00410B44"/>
    <w:rsid w:val="004126E4"/>
    <w:rsid w:val="004128AD"/>
    <w:rsid w:val="00413206"/>
    <w:rsid w:val="00414368"/>
    <w:rsid w:val="004145EF"/>
    <w:rsid w:val="00415338"/>
    <w:rsid w:val="00415643"/>
    <w:rsid w:val="00416699"/>
    <w:rsid w:val="004169FF"/>
    <w:rsid w:val="00417C6A"/>
    <w:rsid w:val="00420A7C"/>
    <w:rsid w:val="004212D4"/>
    <w:rsid w:val="004222E7"/>
    <w:rsid w:val="00423E47"/>
    <w:rsid w:val="0042588E"/>
    <w:rsid w:val="00425BCB"/>
    <w:rsid w:val="00426B6C"/>
    <w:rsid w:val="0042733A"/>
    <w:rsid w:val="0042749C"/>
    <w:rsid w:val="004327D4"/>
    <w:rsid w:val="00433CB2"/>
    <w:rsid w:val="00434C5D"/>
    <w:rsid w:val="00434E0A"/>
    <w:rsid w:val="004365A0"/>
    <w:rsid w:val="00437317"/>
    <w:rsid w:val="00442E1D"/>
    <w:rsid w:val="00443607"/>
    <w:rsid w:val="00443776"/>
    <w:rsid w:val="00443F7F"/>
    <w:rsid w:val="00444A42"/>
    <w:rsid w:val="004455D5"/>
    <w:rsid w:val="00445CEF"/>
    <w:rsid w:val="0044633E"/>
    <w:rsid w:val="00450A2B"/>
    <w:rsid w:val="00450FC2"/>
    <w:rsid w:val="00451BA5"/>
    <w:rsid w:val="004527D7"/>
    <w:rsid w:val="00453316"/>
    <w:rsid w:val="00453B47"/>
    <w:rsid w:val="00453D39"/>
    <w:rsid w:val="00454AFA"/>
    <w:rsid w:val="00455690"/>
    <w:rsid w:val="00461C3D"/>
    <w:rsid w:val="00462681"/>
    <w:rsid w:val="00462B4A"/>
    <w:rsid w:val="004634CA"/>
    <w:rsid w:val="00463B9B"/>
    <w:rsid w:val="00463C1C"/>
    <w:rsid w:val="00464C85"/>
    <w:rsid w:val="00464CB7"/>
    <w:rsid w:val="00467783"/>
    <w:rsid w:val="00467ACF"/>
    <w:rsid w:val="00470FA1"/>
    <w:rsid w:val="004715AA"/>
    <w:rsid w:val="004721BF"/>
    <w:rsid w:val="004728F6"/>
    <w:rsid w:val="004749B7"/>
    <w:rsid w:val="00474B8E"/>
    <w:rsid w:val="00475F9F"/>
    <w:rsid w:val="00482E38"/>
    <w:rsid w:val="00487510"/>
    <w:rsid w:val="00492560"/>
    <w:rsid w:val="00493737"/>
    <w:rsid w:val="004939B3"/>
    <w:rsid w:val="0049451A"/>
    <w:rsid w:val="00496924"/>
    <w:rsid w:val="004969A8"/>
    <w:rsid w:val="00497C8F"/>
    <w:rsid w:val="004A4BFF"/>
    <w:rsid w:val="004A58E5"/>
    <w:rsid w:val="004A6EF3"/>
    <w:rsid w:val="004A73CD"/>
    <w:rsid w:val="004B0D6D"/>
    <w:rsid w:val="004B1C09"/>
    <w:rsid w:val="004B20FD"/>
    <w:rsid w:val="004B21A5"/>
    <w:rsid w:val="004B2A05"/>
    <w:rsid w:val="004B545A"/>
    <w:rsid w:val="004B5B35"/>
    <w:rsid w:val="004B6B5E"/>
    <w:rsid w:val="004B6F00"/>
    <w:rsid w:val="004C0263"/>
    <w:rsid w:val="004C0DBA"/>
    <w:rsid w:val="004C0E6B"/>
    <w:rsid w:val="004C103A"/>
    <w:rsid w:val="004C3259"/>
    <w:rsid w:val="004C3A3A"/>
    <w:rsid w:val="004C3BBC"/>
    <w:rsid w:val="004C457C"/>
    <w:rsid w:val="004C5D6B"/>
    <w:rsid w:val="004C6E27"/>
    <w:rsid w:val="004C7026"/>
    <w:rsid w:val="004C7740"/>
    <w:rsid w:val="004C7D9F"/>
    <w:rsid w:val="004D2228"/>
    <w:rsid w:val="004D33E5"/>
    <w:rsid w:val="004D3B76"/>
    <w:rsid w:val="004D3ED0"/>
    <w:rsid w:val="004D40E6"/>
    <w:rsid w:val="004D4ED8"/>
    <w:rsid w:val="004D55AE"/>
    <w:rsid w:val="004D6AEA"/>
    <w:rsid w:val="004D6B59"/>
    <w:rsid w:val="004D79FE"/>
    <w:rsid w:val="004E0437"/>
    <w:rsid w:val="004E09C2"/>
    <w:rsid w:val="004E0B79"/>
    <w:rsid w:val="004E418C"/>
    <w:rsid w:val="004E43FB"/>
    <w:rsid w:val="004E4497"/>
    <w:rsid w:val="004E5A42"/>
    <w:rsid w:val="004E6370"/>
    <w:rsid w:val="004E7ECB"/>
    <w:rsid w:val="004F0AA2"/>
    <w:rsid w:val="004F0B64"/>
    <w:rsid w:val="004F1FBA"/>
    <w:rsid w:val="004F23B7"/>
    <w:rsid w:val="004F7ABC"/>
    <w:rsid w:val="00503C4C"/>
    <w:rsid w:val="005053FA"/>
    <w:rsid w:val="00505C92"/>
    <w:rsid w:val="00506FE6"/>
    <w:rsid w:val="00511B32"/>
    <w:rsid w:val="0051229A"/>
    <w:rsid w:val="00512B7D"/>
    <w:rsid w:val="00513E79"/>
    <w:rsid w:val="00524E31"/>
    <w:rsid w:val="00525CEE"/>
    <w:rsid w:val="00530CE0"/>
    <w:rsid w:val="005310C3"/>
    <w:rsid w:val="00531C02"/>
    <w:rsid w:val="0053299B"/>
    <w:rsid w:val="00532C45"/>
    <w:rsid w:val="005352D5"/>
    <w:rsid w:val="00535FFB"/>
    <w:rsid w:val="00536436"/>
    <w:rsid w:val="00537C55"/>
    <w:rsid w:val="005411AB"/>
    <w:rsid w:val="00541832"/>
    <w:rsid w:val="0054283D"/>
    <w:rsid w:val="00542A04"/>
    <w:rsid w:val="00542C38"/>
    <w:rsid w:val="005446CE"/>
    <w:rsid w:val="00545164"/>
    <w:rsid w:val="00547595"/>
    <w:rsid w:val="0054783F"/>
    <w:rsid w:val="00550F4B"/>
    <w:rsid w:val="00551221"/>
    <w:rsid w:val="00557ABF"/>
    <w:rsid w:val="005614A8"/>
    <w:rsid w:val="00561BA7"/>
    <w:rsid w:val="00561FFC"/>
    <w:rsid w:val="005623BC"/>
    <w:rsid w:val="005624A4"/>
    <w:rsid w:val="005645E9"/>
    <w:rsid w:val="0056532F"/>
    <w:rsid w:val="00565D36"/>
    <w:rsid w:val="005662C6"/>
    <w:rsid w:val="00566844"/>
    <w:rsid w:val="00566E21"/>
    <w:rsid w:val="00567AE1"/>
    <w:rsid w:val="00570282"/>
    <w:rsid w:val="00570893"/>
    <w:rsid w:val="0057093B"/>
    <w:rsid w:val="005726A2"/>
    <w:rsid w:val="00572CD6"/>
    <w:rsid w:val="00574FAC"/>
    <w:rsid w:val="0057796C"/>
    <w:rsid w:val="005800E8"/>
    <w:rsid w:val="00580776"/>
    <w:rsid w:val="00581511"/>
    <w:rsid w:val="0058264C"/>
    <w:rsid w:val="00583136"/>
    <w:rsid w:val="00584D76"/>
    <w:rsid w:val="00584DF0"/>
    <w:rsid w:val="00585129"/>
    <w:rsid w:val="00585474"/>
    <w:rsid w:val="005857B1"/>
    <w:rsid w:val="005862F0"/>
    <w:rsid w:val="00586941"/>
    <w:rsid w:val="0059043D"/>
    <w:rsid w:val="00590C94"/>
    <w:rsid w:val="005914FD"/>
    <w:rsid w:val="00594754"/>
    <w:rsid w:val="00595BC7"/>
    <w:rsid w:val="00596D7D"/>
    <w:rsid w:val="00597C7B"/>
    <w:rsid w:val="005A1885"/>
    <w:rsid w:val="005A29E3"/>
    <w:rsid w:val="005A4439"/>
    <w:rsid w:val="005A4798"/>
    <w:rsid w:val="005A5C3A"/>
    <w:rsid w:val="005A6145"/>
    <w:rsid w:val="005B00EA"/>
    <w:rsid w:val="005B0B11"/>
    <w:rsid w:val="005B0D28"/>
    <w:rsid w:val="005B1506"/>
    <w:rsid w:val="005B174C"/>
    <w:rsid w:val="005B2439"/>
    <w:rsid w:val="005B29DA"/>
    <w:rsid w:val="005B316D"/>
    <w:rsid w:val="005B31B4"/>
    <w:rsid w:val="005B3776"/>
    <w:rsid w:val="005B3FA7"/>
    <w:rsid w:val="005B41CA"/>
    <w:rsid w:val="005B4D7B"/>
    <w:rsid w:val="005B5AEE"/>
    <w:rsid w:val="005B6F32"/>
    <w:rsid w:val="005B704B"/>
    <w:rsid w:val="005B7309"/>
    <w:rsid w:val="005B7B4E"/>
    <w:rsid w:val="005C242A"/>
    <w:rsid w:val="005C3714"/>
    <w:rsid w:val="005C4B5D"/>
    <w:rsid w:val="005C509F"/>
    <w:rsid w:val="005C7E06"/>
    <w:rsid w:val="005D03FD"/>
    <w:rsid w:val="005D3ACA"/>
    <w:rsid w:val="005D3B69"/>
    <w:rsid w:val="005D41E0"/>
    <w:rsid w:val="005D44DB"/>
    <w:rsid w:val="005D4688"/>
    <w:rsid w:val="005D487E"/>
    <w:rsid w:val="005D6067"/>
    <w:rsid w:val="005D621C"/>
    <w:rsid w:val="005D7C8D"/>
    <w:rsid w:val="005E39AE"/>
    <w:rsid w:val="005E3A4C"/>
    <w:rsid w:val="005E63F0"/>
    <w:rsid w:val="005E640E"/>
    <w:rsid w:val="005E6CDB"/>
    <w:rsid w:val="005F09D4"/>
    <w:rsid w:val="005F09FF"/>
    <w:rsid w:val="005F0FA6"/>
    <w:rsid w:val="005F183A"/>
    <w:rsid w:val="005F1AE4"/>
    <w:rsid w:val="005F3DFE"/>
    <w:rsid w:val="005F7711"/>
    <w:rsid w:val="005F7B88"/>
    <w:rsid w:val="006057DA"/>
    <w:rsid w:val="006058C7"/>
    <w:rsid w:val="006071F1"/>
    <w:rsid w:val="0060747E"/>
    <w:rsid w:val="00610158"/>
    <w:rsid w:val="0061082F"/>
    <w:rsid w:val="006133A0"/>
    <w:rsid w:val="00614131"/>
    <w:rsid w:val="006141A9"/>
    <w:rsid w:val="006144F0"/>
    <w:rsid w:val="00615545"/>
    <w:rsid w:val="00615877"/>
    <w:rsid w:val="006163E3"/>
    <w:rsid w:val="00616907"/>
    <w:rsid w:val="006206E4"/>
    <w:rsid w:val="006211FE"/>
    <w:rsid w:val="006212AB"/>
    <w:rsid w:val="00621485"/>
    <w:rsid w:val="00622463"/>
    <w:rsid w:val="0062320C"/>
    <w:rsid w:val="00623594"/>
    <w:rsid w:val="0062527B"/>
    <w:rsid w:val="00627EF7"/>
    <w:rsid w:val="00630607"/>
    <w:rsid w:val="00630DF6"/>
    <w:rsid w:val="0063166B"/>
    <w:rsid w:val="006318F6"/>
    <w:rsid w:val="00632731"/>
    <w:rsid w:val="006327C3"/>
    <w:rsid w:val="006333A6"/>
    <w:rsid w:val="0063392D"/>
    <w:rsid w:val="00634E84"/>
    <w:rsid w:val="00635331"/>
    <w:rsid w:val="00635671"/>
    <w:rsid w:val="00635833"/>
    <w:rsid w:val="00636379"/>
    <w:rsid w:val="00637725"/>
    <w:rsid w:val="006378D0"/>
    <w:rsid w:val="00637F5B"/>
    <w:rsid w:val="006409D4"/>
    <w:rsid w:val="006420E4"/>
    <w:rsid w:val="00643073"/>
    <w:rsid w:val="0064359E"/>
    <w:rsid w:val="006437FF"/>
    <w:rsid w:val="00643B0E"/>
    <w:rsid w:val="00645264"/>
    <w:rsid w:val="00645327"/>
    <w:rsid w:val="0064670A"/>
    <w:rsid w:val="006475E7"/>
    <w:rsid w:val="00647D07"/>
    <w:rsid w:val="0065047E"/>
    <w:rsid w:val="00650604"/>
    <w:rsid w:val="00650D27"/>
    <w:rsid w:val="00653A57"/>
    <w:rsid w:val="0065600C"/>
    <w:rsid w:val="0065630E"/>
    <w:rsid w:val="00657466"/>
    <w:rsid w:val="006620E4"/>
    <w:rsid w:val="00662A8D"/>
    <w:rsid w:val="00662C9A"/>
    <w:rsid w:val="006651DE"/>
    <w:rsid w:val="00666593"/>
    <w:rsid w:val="006668ED"/>
    <w:rsid w:val="00666D2D"/>
    <w:rsid w:val="00670CDB"/>
    <w:rsid w:val="0067251C"/>
    <w:rsid w:val="00672AAE"/>
    <w:rsid w:val="00675B8E"/>
    <w:rsid w:val="00676592"/>
    <w:rsid w:val="006777A2"/>
    <w:rsid w:val="00681629"/>
    <w:rsid w:val="00681A36"/>
    <w:rsid w:val="006840E6"/>
    <w:rsid w:val="006854A7"/>
    <w:rsid w:val="00686923"/>
    <w:rsid w:val="00686E98"/>
    <w:rsid w:val="0069187A"/>
    <w:rsid w:val="0069424E"/>
    <w:rsid w:val="0069428F"/>
    <w:rsid w:val="00694806"/>
    <w:rsid w:val="006A0292"/>
    <w:rsid w:val="006A0322"/>
    <w:rsid w:val="006A0350"/>
    <w:rsid w:val="006A05E7"/>
    <w:rsid w:val="006A084A"/>
    <w:rsid w:val="006A25DF"/>
    <w:rsid w:val="006A29C5"/>
    <w:rsid w:val="006A2DB8"/>
    <w:rsid w:val="006A3D9A"/>
    <w:rsid w:val="006A4877"/>
    <w:rsid w:val="006A58BD"/>
    <w:rsid w:val="006A67C4"/>
    <w:rsid w:val="006B062D"/>
    <w:rsid w:val="006B0FB0"/>
    <w:rsid w:val="006B19B0"/>
    <w:rsid w:val="006B45FE"/>
    <w:rsid w:val="006B4B54"/>
    <w:rsid w:val="006B5F04"/>
    <w:rsid w:val="006B6045"/>
    <w:rsid w:val="006B74FC"/>
    <w:rsid w:val="006B76B6"/>
    <w:rsid w:val="006B7988"/>
    <w:rsid w:val="006B7FE4"/>
    <w:rsid w:val="006C05F7"/>
    <w:rsid w:val="006C15B1"/>
    <w:rsid w:val="006C19FE"/>
    <w:rsid w:val="006C50A3"/>
    <w:rsid w:val="006C6D34"/>
    <w:rsid w:val="006C6DE6"/>
    <w:rsid w:val="006C730A"/>
    <w:rsid w:val="006D0084"/>
    <w:rsid w:val="006D09A3"/>
    <w:rsid w:val="006D1A26"/>
    <w:rsid w:val="006D2413"/>
    <w:rsid w:val="006D3B1F"/>
    <w:rsid w:val="006D3E49"/>
    <w:rsid w:val="006D4943"/>
    <w:rsid w:val="006D5956"/>
    <w:rsid w:val="006D5BD7"/>
    <w:rsid w:val="006D616C"/>
    <w:rsid w:val="006D64C4"/>
    <w:rsid w:val="006D7AAE"/>
    <w:rsid w:val="006E2424"/>
    <w:rsid w:val="006E3089"/>
    <w:rsid w:val="006E3666"/>
    <w:rsid w:val="006E4498"/>
    <w:rsid w:val="006E6FB8"/>
    <w:rsid w:val="006E7D3E"/>
    <w:rsid w:val="006F0162"/>
    <w:rsid w:val="006F04FF"/>
    <w:rsid w:val="006F070B"/>
    <w:rsid w:val="006F090B"/>
    <w:rsid w:val="006F142E"/>
    <w:rsid w:val="006F4422"/>
    <w:rsid w:val="006F46DF"/>
    <w:rsid w:val="006F4860"/>
    <w:rsid w:val="006F5825"/>
    <w:rsid w:val="006F7191"/>
    <w:rsid w:val="00701E7D"/>
    <w:rsid w:val="00703301"/>
    <w:rsid w:val="0070348D"/>
    <w:rsid w:val="0070503C"/>
    <w:rsid w:val="007057A9"/>
    <w:rsid w:val="007067DB"/>
    <w:rsid w:val="00707F6F"/>
    <w:rsid w:val="00710141"/>
    <w:rsid w:val="00710249"/>
    <w:rsid w:val="00710357"/>
    <w:rsid w:val="00710E78"/>
    <w:rsid w:val="00711D5B"/>
    <w:rsid w:val="00713F72"/>
    <w:rsid w:val="00714ACC"/>
    <w:rsid w:val="00714D13"/>
    <w:rsid w:val="007157B8"/>
    <w:rsid w:val="00717B0E"/>
    <w:rsid w:val="00722D72"/>
    <w:rsid w:val="0072578C"/>
    <w:rsid w:val="00726A7A"/>
    <w:rsid w:val="00727069"/>
    <w:rsid w:val="007278E4"/>
    <w:rsid w:val="007333B0"/>
    <w:rsid w:val="00735133"/>
    <w:rsid w:val="00736345"/>
    <w:rsid w:val="00736E17"/>
    <w:rsid w:val="00740840"/>
    <w:rsid w:val="007424B0"/>
    <w:rsid w:val="007435F4"/>
    <w:rsid w:val="00746AD3"/>
    <w:rsid w:val="00750B33"/>
    <w:rsid w:val="00752519"/>
    <w:rsid w:val="007532C6"/>
    <w:rsid w:val="00753F91"/>
    <w:rsid w:val="007568D4"/>
    <w:rsid w:val="00756A1C"/>
    <w:rsid w:val="007570DC"/>
    <w:rsid w:val="00757BEF"/>
    <w:rsid w:val="00760B0B"/>
    <w:rsid w:val="00760D96"/>
    <w:rsid w:val="0076112C"/>
    <w:rsid w:val="00761266"/>
    <w:rsid w:val="00762B04"/>
    <w:rsid w:val="00763D94"/>
    <w:rsid w:val="00764623"/>
    <w:rsid w:val="00764F04"/>
    <w:rsid w:val="007651AA"/>
    <w:rsid w:val="007651C6"/>
    <w:rsid w:val="007661BC"/>
    <w:rsid w:val="007664AE"/>
    <w:rsid w:val="00766A64"/>
    <w:rsid w:val="00766B2B"/>
    <w:rsid w:val="007672BA"/>
    <w:rsid w:val="007679EA"/>
    <w:rsid w:val="00767F99"/>
    <w:rsid w:val="007706A1"/>
    <w:rsid w:val="00770B40"/>
    <w:rsid w:val="00771365"/>
    <w:rsid w:val="007713C1"/>
    <w:rsid w:val="0077173C"/>
    <w:rsid w:val="007718CE"/>
    <w:rsid w:val="00771C61"/>
    <w:rsid w:val="007720A6"/>
    <w:rsid w:val="00772A74"/>
    <w:rsid w:val="00774ED2"/>
    <w:rsid w:val="00776AC7"/>
    <w:rsid w:val="00783110"/>
    <w:rsid w:val="00785483"/>
    <w:rsid w:val="00786BEA"/>
    <w:rsid w:val="00787919"/>
    <w:rsid w:val="00787A7B"/>
    <w:rsid w:val="007967AF"/>
    <w:rsid w:val="007967F6"/>
    <w:rsid w:val="00797688"/>
    <w:rsid w:val="007A0720"/>
    <w:rsid w:val="007A0FA4"/>
    <w:rsid w:val="007A2EFB"/>
    <w:rsid w:val="007A31E3"/>
    <w:rsid w:val="007A3864"/>
    <w:rsid w:val="007A418B"/>
    <w:rsid w:val="007A52E8"/>
    <w:rsid w:val="007A59E3"/>
    <w:rsid w:val="007A5B9B"/>
    <w:rsid w:val="007A5BE4"/>
    <w:rsid w:val="007A6131"/>
    <w:rsid w:val="007A69A4"/>
    <w:rsid w:val="007B01DA"/>
    <w:rsid w:val="007B0709"/>
    <w:rsid w:val="007B0ED5"/>
    <w:rsid w:val="007B660E"/>
    <w:rsid w:val="007B71A0"/>
    <w:rsid w:val="007C02B6"/>
    <w:rsid w:val="007C1891"/>
    <w:rsid w:val="007C205E"/>
    <w:rsid w:val="007C26D2"/>
    <w:rsid w:val="007C2DB2"/>
    <w:rsid w:val="007C32F6"/>
    <w:rsid w:val="007C419F"/>
    <w:rsid w:val="007C4703"/>
    <w:rsid w:val="007C4D99"/>
    <w:rsid w:val="007C5F71"/>
    <w:rsid w:val="007C6D9D"/>
    <w:rsid w:val="007D0880"/>
    <w:rsid w:val="007D15AC"/>
    <w:rsid w:val="007D2BD3"/>
    <w:rsid w:val="007D3237"/>
    <w:rsid w:val="007D3F46"/>
    <w:rsid w:val="007D5505"/>
    <w:rsid w:val="007D5D93"/>
    <w:rsid w:val="007D673F"/>
    <w:rsid w:val="007D736C"/>
    <w:rsid w:val="007E0C06"/>
    <w:rsid w:val="007E1F31"/>
    <w:rsid w:val="007E28CB"/>
    <w:rsid w:val="007E3971"/>
    <w:rsid w:val="007E4918"/>
    <w:rsid w:val="007E5AF2"/>
    <w:rsid w:val="007E5DC7"/>
    <w:rsid w:val="007E6D06"/>
    <w:rsid w:val="007E74AF"/>
    <w:rsid w:val="007E75A1"/>
    <w:rsid w:val="007E7F48"/>
    <w:rsid w:val="007F02AD"/>
    <w:rsid w:val="007F0805"/>
    <w:rsid w:val="007F1F57"/>
    <w:rsid w:val="007F4193"/>
    <w:rsid w:val="007F4984"/>
    <w:rsid w:val="007F5391"/>
    <w:rsid w:val="007F5DAC"/>
    <w:rsid w:val="007F5DBD"/>
    <w:rsid w:val="007F634C"/>
    <w:rsid w:val="007F710B"/>
    <w:rsid w:val="00803231"/>
    <w:rsid w:val="008037BB"/>
    <w:rsid w:val="00805B27"/>
    <w:rsid w:val="008070CD"/>
    <w:rsid w:val="00807141"/>
    <w:rsid w:val="00807FAD"/>
    <w:rsid w:val="008102F2"/>
    <w:rsid w:val="00810465"/>
    <w:rsid w:val="00810B9D"/>
    <w:rsid w:val="00812658"/>
    <w:rsid w:val="008147A2"/>
    <w:rsid w:val="00814EAC"/>
    <w:rsid w:val="00815963"/>
    <w:rsid w:val="0082018E"/>
    <w:rsid w:val="00820990"/>
    <w:rsid w:val="00821B06"/>
    <w:rsid w:val="00821FB9"/>
    <w:rsid w:val="008220EC"/>
    <w:rsid w:val="00822571"/>
    <w:rsid w:val="008246F7"/>
    <w:rsid w:val="00825A0C"/>
    <w:rsid w:val="00827510"/>
    <w:rsid w:val="00830AD9"/>
    <w:rsid w:val="00830E7F"/>
    <w:rsid w:val="00832B19"/>
    <w:rsid w:val="008345B9"/>
    <w:rsid w:val="00835891"/>
    <w:rsid w:val="0083639A"/>
    <w:rsid w:val="00836CD3"/>
    <w:rsid w:val="00836DF2"/>
    <w:rsid w:val="008378DE"/>
    <w:rsid w:val="00837CE9"/>
    <w:rsid w:val="008405D3"/>
    <w:rsid w:val="00840E7E"/>
    <w:rsid w:val="00846559"/>
    <w:rsid w:val="00852135"/>
    <w:rsid w:val="0085396E"/>
    <w:rsid w:val="008541E8"/>
    <w:rsid w:val="008553E4"/>
    <w:rsid w:val="00860384"/>
    <w:rsid w:val="008605FE"/>
    <w:rsid w:val="00862E74"/>
    <w:rsid w:val="00862F4C"/>
    <w:rsid w:val="00871FBB"/>
    <w:rsid w:val="00873634"/>
    <w:rsid w:val="00873F3E"/>
    <w:rsid w:val="00875D09"/>
    <w:rsid w:val="008761F5"/>
    <w:rsid w:val="008775A2"/>
    <w:rsid w:val="00880D3A"/>
    <w:rsid w:val="00882B18"/>
    <w:rsid w:val="00883825"/>
    <w:rsid w:val="0088472B"/>
    <w:rsid w:val="008861C2"/>
    <w:rsid w:val="00886A12"/>
    <w:rsid w:val="00886C45"/>
    <w:rsid w:val="00886D98"/>
    <w:rsid w:val="00886FEF"/>
    <w:rsid w:val="00887E64"/>
    <w:rsid w:val="008916EB"/>
    <w:rsid w:val="00892241"/>
    <w:rsid w:val="00892AA1"/>
    <w:rsid w:val="00894525"/>
    <w:rsid w:val="008946DE"/>
    <w:rsid w:val="00896E27"/>
    <w:rsid w:val="00897C30"/>
    <w:rsid w:val="008A057C"/>
    <w:rsid w:val="008A0C1E"/>
    <w:rsid w:val="008A0E1A"/>
    <w:rsid w:val="008A201B"/>
    <w:rsid w:val="008A2A1F"/>
    <w:rsid w:val="008A5644"/>
    <w:rsid w:val="008A62D2"/>
    <w:rsid w:val="008A637E"/>
    <w:rsid w:val="008A6A1C"/>
    <w:rsid w:val="008A7BA5"/>
    <w:rsid w:val="008B030A"/>
    <w:rsid w:val="008B1768"/>
    <w:rsid w:val="008B1F3C"/>
    <w:rsid w:val="008B38D8"/>
    <w:rsid w:val="008B4CD6"/>
    <w:rsid w:val="008B4E22"/>
    <w:rsid w:val="008B518D"/>
    <w:rsid w:val="008B6EF7"/>
    <w:rsid w:val="008B7F82"/>
    <w:rsid w:val="008C14BC"/>
    <w:rsid w:val="008C14CF"/>
    <w:rsid w:val="008C1A74"/>
    <w:rsid w:val="008C1AF2"/>
    <w:rsid w:val="008C2807"/>
    <w:rsid w:val="008C4708"/>
    <w:rsid w:val="008C56DB"/>
    <w:rsid w:val="008C5CAD"/>
    <w:rsid w:val="008C690B"/>
    <w:rsid w:val="008C6E26"/>
    <w:rsid w:val="008C7D7D"/>
    <w:rsid w:val="008D012D"/>
    <w:rsid w:val="008D0B82"/>
    <w:rsid w:val="008D11C1"/>
    <w:rsid w:val="008D182C"/>
    <w:rsid w:val="008D2E7D"/>
    <w:rsid w:val="008D307B"/>
    <w:rsid w:val="008D413D"/>
    <w:rsid w:val="008D5432"/>
    <w:rsid w:val="008D56BE"/>
    <w:rsid w:val="008D7905"/>
    <w:rsid w:val="008E0C5C"/>
    <w:rsid w:val="008E37AB"/>
    <w:rsid w:val="008E4DF8"/>
    <w:rsid w:val="008E4E38"/>
    <w:rsid w:val="008E6D07"/>
    <w:rsid w:val="008E74FB"/>
    <w:rsid w:val="008E7A6B"/>
    <w:rsid w:val="008F018D"/>
    <w:rsid w:val="008F1430"/>
    <w:rsid w:val="008F462C"/>
    <w:rsid w:val="008F5E3B"/>
    <w:rsid w:val="008F7319"/>
    <w:rsid w:val="009016BC"/>
    <w:rsid w:val="00901F98"/>
    <w:rsid w:val="00903BF1"/>
    <w:rsid w:val="00904C3B"/>
    <w:rsid w:val="009052BF"/>
    <w:rsid w:val="009054A2"/>
    <w:rsid w:val="009071CA"/>
    <w:rsid w:val="009076CF"/>
    <w:rsid w:val="00907FE5"/>
    <w:rsid w:val="00911155"/>
    <w:rsid w:val="009120D6"/>
    <w:rsid w:val="009124D5"/>
    <w:rsid w:val="00912B98"/>
    <w:rsid w:val="009133E9"/>
    <w:rsid w:val="00915CBD"/>
    <w:rsid w:val="00916B5A"/>
    <w:rsid w:val="00916BC8"/>
    <w:rsid w:val="00916FA2"/>
    <w:rsid w:val="0091748E"/>
    <w:rsid w:val="009203C2"/>
    <w:rsid w:val="00920758"/>
    <w:rsid w:val="00921B8D"/>
    <w:rsid w:val="00922478"/>
    <w:rsid w:val="00922B9F"/>
    <w:rsid w:val="00922EE8"/>
    <w:rsid w:val="0092375C"/>
    <w:rsid w:val="00925914"/>
    <w:rsid w:val="00925B41"/>
    <w:rsid w:val="00926164"/>
    <w:rsid w:val="00930B23"/>
    <w:rsid w:val="00931533"/>
    <w:rsid w:val="00933777"/>
    <w:rsid w:val="00933AA7"/>
    <w:rsid w:val="00933DAA"/>
    <w:rsid w:val="00934856"/>
    <w:rsid w:val="00934ADE"/>
    <w:rsid w:val="00935E1E"/>
    <w:rsid w:val="00936203"/>
    <w:rsid w:val="00936859"/>
    <w:rsid w:val="0094128E"/>
    <w:rsid w:val="009418DC"/>
    <w:rsid w:val="0094213B"/>
    <w:rsid w:val="009430C8"/>
    <w:rsid w:val="0094375D"/>
    <w:rsid w:val="00943B73"/>
    <w:rsid w:val="009444AD"/>
    <w:rsid w:val="00945008"/>
    <w:rsid w:val="00945DBC"/>
    <w:rsid w:val="009461B1"/>
    <w:rsid w:val="009505C6"/>
    <w:rsid w:val="00953C5E"/>
    <w:rsid w:val="00955E40"/>
    <w:rsid w:val="00960404"/>
    <w:rsid w:val="00960873"/>
    <w:rsid w:val="0096227C"/>
    <w:rsid w:val="009629F9"/>
    <w:rsid w:val="00964761"/>
    <w:rsid w:val="0096562D"/>
    <w:rsid w:val="009701E7"/>
    <w:rsid w:val="00971F6C"/>
    <w:rsid w:val="0097380A"/>
    <w:rsid w:val="009743CE"/>
    <w:rsid w:val="009757A2"/>
    <w:rsid w:val="00975DDC"/>
    <w:rsid w:val="009803DD"/>
    <w:rsid w:val="009805A7"/>
    <w:rsid w:val="009813A7"/>
    <w:rsid w:val="009816FA"/>
    <w:rsid w:val="00982C42"/>
    <w:rsid w:val="00983774"/>
    <w:rsid w:val="009842F6"/>
    <w:rsid w:val="00984E6B"/>
    <w:rsid w:val="009853D7"/>
    <w:rsid w:val="00985D21"/>
    <w:rsid w:val="00986B90"/>
    <w:rsid w:val="00990EDF"/>
    <w:rsid w:val="00992AB9"/>
    <w:rsid w:val="00994743"/>
    <w:rsid w:val="00994E27"/>
    <w:rsid w:val="00995CF6"/>
    <w:rsid w:val="00996003"/>
    <w:rsid w:val="00996AC4"/>
    <w:rsid w:val="00997EDC"/>
    <w:rsid w:val="009A144A"/>
    <w:rsid w:val="009A1A54"/>
    <w:rsid w:val="009A274C"/>
    <w:rsid w:val="009A3815"/>
    <w:rsid w:val="009A58DB"/>
    <w:rsid w:val="009A5DFF"/>
    <w:rsid w:val="009A63D8"/>
    <w:rsid w:val="009A6E17"/>
    <w:rsid w:val="009A78FF"/>
    <w:rsid w:val="009B05E8"/>
    <w:rsid w:val="009B1A2D"/>
    <w:rsid w:val="009B26ED"/>
    <w:rsid w:val="009B2D85"/>
    <w:rsid w:val="009B36C3"/>
    <w:rsid w:val="009B3ABC"/>
    <w:rsid w:val="009B4E4D"/>
    <w:rsid w:val="009B66FD"/>
    <w:rsid w:val="009B68F5"/>
    <w:rsid w:val="009B74E3"/>
    <w:rsid w:val="009C0B06"/>
    <w:rsid w:val="009C1A15"/>
    <w:rsid w:val="009C3BBF"/>
    <w:rsid w:val="009C42B5"/>
    <w:rsid w:val="009C7176"/>
    <w:rsid w:val="009C72DE"/>
    <w:rsid w:val="009C7318"/>
    <w:rsid w:val="009C7DAC"/>
    <w:rsid w:val="009D00F9"/>
    <w:rsid w:val="009D077D"/>
    <w:rsid w:val="009D0E29"/>
    <w:rsid w:val="009D27E4"/>
    <w:rsid w:val="009D2FBF"/>
    <w:rsid w:val="009D402A"/>
    <w:rsid w:val="009D7FE7"/>
    <w:rsid w:val="009E1091"/>
    <w:rsid w:val="009E3F2F"/>
    <w:rsid w:val="009E52BC"/>
    <w:rsid w:val="009E5B12"/>
    <w:rsid w:val="009E6439"/>
    <w:rsid w:val="009E6B2F"/>
    <w:rsid w:val="009F0081"/>
    <w:rsid w:val="009F05DA"/>
    <w:rsid w:val="009F2155"/>
    <w:rsid w:val="009F2CB3"/>
    <w:rsid w:val="009F2D4C"/>
    <w:rsid w:val="009F326B"/>
    <w:rsid w:val="009F3422"/>
    <w:rsid w:val="009F3EB3"/>
    <w:rsid w:val="009F5000"/>
    <w:rsid w:val="009F5B74"/>
    <w:rsid w:val="009F7D58"/>
    <w:rsid w:val="00A02716"/>
    <w:rsid w:val="00A0351F"/>
    <w:rsid w:val="00A03710"/>
    <w:rsid w:val="00A04BB4"/>
    <w:rsid w:val="00A070BE"/>
    <w:rsid w:val="00A073C8"/>
    <w:rsid w:val="00A073CE"/>
    <w:rsid w:val="00A07681"/>
    <w:rsid w:val="00A07BC8"/>
    <w:rsid w:val="00A10186"/>
    <w:rsid w:val="00A113A8"/>
    <w:rsid w:val="00A11A19"/>
    <w:rsid w:val="00A12169"/>
    <w:rsid w:val="00A129AF"/>
    <w:rsid w:val="00A162A3"/>
    <w:rsid w:val="00A164C1"/>
    <w:rsid w:val="00A17C72"/>
    <w:rsid w:val="00A20128"/>
    <w:rsid w:val="00A2038A"/>
    <w:rsid w:val="00A2093C"/>
    <w:rsid w:val="00A21B89"/>
    <w:rsid w:val="00A21E0A"/>
    <w:rsid w:val="00A22226"/>
    <w:rsid w:val="00A22609"/>
    <w:rsid w:val="00A227A3"/>
    <w:rsid w:val="00A22E3E"/>
    <w:rsid w:val="00A22F75"/>
    <w:rsid w:val="00A23656"/>
    <w:rsid w:val="00A26103"/>
    <w:rsid w:val="00A26183"/>
    <w:rsid w:val="00A263BE"/>
    <w:rsid w:val="00A27FC5"/>
    <w:rsid w:val="00A301D2"/>
    <w:rsid w:val="00A3179E"/>
    <w:rsid w:val="00A33B90"/>
    <w:rsid w:val="00A350D5"/>
    <w:rsid w:val="00A3626E"/>
    <w:rsid w:val="00A3644C"/>
    <w:rsid w:val="00A36B0A"/>
    <w:rsid w:val="00A36B63"/>
    <w:rsid w:val="00A37DFB"/>
    <w:rsid w:val="00A4216B"/>
    <w:rsid w:val="00A44A0C"/>
    <w:rsid w:val="00A471BB"/>
    <w:rsid w:val="00A50BE1"/>
    <w:rsid w:val="00A50F44"/>
    <w:rsid w:val="00A52963"/>
    <w:rsid w:val="00A53659"/>
    <w:rsid w:val="00A54AB8"/>
    <w:rsid w:val="00A55C1E"/>
    <w:rsid w:val="00A55FA1"/>
    <w:rsid w:val="00A60911"/>
    <w:rsid w:val="00A60BD2"/>
    <w:rsid w:val="00A6235A"/>
    <w:rsid w:val="00A626D7"/>
    <w:rsid w:val="00A640DE"/>
    <w:rsid w:val="00A65E90"/>
    <w:rsid w:val="00A660F1"/>
    <w:rsid w:val="00A675F7"/>
    <w:rsid w:val="00A702D9"/>
    <w:rsid w:val="00A70FC4"/>
    <w:rsid w:val="00A710DD"/>
    <w:rsid w:val="00A72A5D"/>
    <w:rsid w:val="00A73140"/>
    <w:rsid w:val="00A73609"/>
    <w:rsid w:val="00A74348"/>
    <w:rsid w:val="00A743F6"/>
    <w:rsid w:val="00A75A73"/>
    <w:rsid w:val="00A76F54"/>
    <w:rsid w:val="00A77161"/>
    <w:rsid w:val="00A7723B"/>
    <w:rsid w:val="00A774EB"/>
    <w:rsid w:val="00A8035D"/>
    <w:rsid w:val="00A81A83"/>
    <w:rsid w:val="00A82357"/>
    <w:rsid w:val="00A835F2"/>
    <w:rsid w:val="00A84FCC"/>
    <w:rsid w:val="00A858C4"/>
    <w:rsid w:val="00A8610F"/>
    <w:rsid w:val="00A8649E"/>
    <w:rsid w:val="00A8656C"/>
    <w:rsid w:val="00A92EA8"/>
    <w:rsid w:val="00AA090D"/>
    <w:rsid w:val="00AA165C"/>
    <w:rsid w:val="00AA1D2F"/>
    <w:rsid w:val="00AA3918"/>
    <w:rsid w:val="00AA417E"/>
    <w:rsid w:val="00AA4963"/>
    <w:rsid w:val="00AA5FEA"/>
    <w:rsid w:val="00AA6168"/>
    <w:rsid w:val="00AA6503"/>
    <w:rsid w:val="00AB0294"/>
    <w:rsid w:val="00AB0A88"/>
    <w:rsid w:val="00AB1C22"/>
    <w:rsid w:val="00AB23D3"/>
    <w:rsid w:val="00AB38E0"/>
    <w:rsid w:val="00AB421A"/>
    <w:rsid w:val="00AB46F1"/>
    <w:rsid w:val="00AB55FF"/>
    <w:rsid w:val="00AB68F3"/>
    <w:rsid w:val="00AC2688"/>
    <w:rsid w:val="00AC419D"/>
    <w:rsid w:val="00AC53E6"/>
    <w:rsid w:val="00AC608A"/>
    <w:rsid w:val="00AC757B"/>
    <w:rsid w:val="00AC7BBA"/>
    <w:rsid w:val="00AC7ED2"/>
    <w:rsid w:val="00AD04BD"/>
    <w:rsid w:val="00AD1338"/>
    <w:rsid w:val="00AD3573"/>
    <w:rsid w:val="00AD3B00"/>
    <w:rsid w:val="00AD4C86"/>
    <w:rsid w:val="00AD5110"/>
    <w:rsid w:val="00AD5D43"/>
    <w:rsid w:val="00AD74FB"/>
    <w:rsid w:val="00AD7535"/>
    <w:rsid w:val="00AE152E"/>
    <w:rsid w:val="00AE1C54"/>
    <w:rsid w:val="00AE32E0"/>
    <w:rsid w:val="00AE40D8"/>
    <w:rsid w:val="00AE554C"/>
    <w:rsid w:val="00AE7723"/>
    <w:rsid w:val="00AF057D"/>
    <w:rsid w:val="00AF1517"/>
    <w:rsid w:val="00AF1EAB"/>
    <w:rsid w:val="00AF240C"/>
    <w:rsid w:val="00AF2CF2"/>
    <w:rsid w:val="00AF3F0E"/>
    <w:rsid w:val="00AF4437"/>
    <w:rsid w:val="00AF470D"/>
    <w:rsid w:val="00AF4A0E"/>
    <w:rsid w:val="00AF4CA6"/>
    <w:rsid w:val="00AF5C61"/>
    <w:rsid w:val="00AF5CC7"/>
    <w:rsid w:val="00AF62B4"/>
    <w:rsid w:val="00AF6353"/>
    <w:rsid w:val="00B01D30"/>
    <w:rsid w:val="00B01E96"/>
    <w:rsid w:val="00B0275F"/>
    <w:rsid w:val="00B03406"/>
    <w:rsid w:val="00B0514D"/>
    <w:rsid w:val="00B0536E"/>
    <w:rsid w:val="00B112A7"/>
    <w:rsid w:val="00B12057"/>
    <w:rsid w:val="00B120E2"/>
    <w:rsid w:val="00B1228C"/>
    <w:rsid w:val="00B14904"/>
    <w:rsid w:val="00B14A60"/>
    <w:rsid w:val="00B14BFF"/>
    <w:rsid w:val="00B14DF4"/>
    <w:rsid w:val="00B16888"/>
    <w:rsid w:val="00B174FC"/>
    <w:rsid w:val="00B17561"/>
    <w:rsid w:val="00B17598"/>
    <w:rsid w:val="00B208C1"/>
    <w:rsid w:val="00B20914"/>
    <w:rsid w:val="00B21C09"/>
    <w:rsid w:val="00B22AC3"/>
    <w:rsid w:val="00B23C65"/>
    <w:rsid w:val="00B2490F"/>
    <w:rsid w:val="00B24C31"/>
    <w:rsid w:val="00B2671D"/>
    <w:rsid w:val="00B27180"/>
    <w:rsid w:val="00B3192D"/>
    <w:rsid w:val="00B31B62"/>
    <w:rsid w:val="00B31F65"/>
    <w:rsid w:val="00B31FB8"/>
    <w:rsid w:val="00B321D9"/>
    <w:rsid w:val="00B32714"/>
    <w:rsid w:val="00B32E0A"/>
    <w:rsid w:val="00B33636"/>
    <w:rsid w:val="00B3378C"/>
    <w:rsid w:val="00B34D33"/>
    <w:rsid w:val="00B35513"/>
    <w:rsid w:val="00B37A09"/>
    <w:rsid w:val="00B37E15"/>
    <w:rsid w:val="00B42024"/>
    <w:rsid w:val="00B4345D"/>
    <w:rsid w:val="00B43E9C"/>
    <w:rsid w:val="00B44AE0"/>
    <w:rsid w:val="00B45612"/>
    <w:rsid w:val="00B5102A"/>
    <w:rsid w:val="00B519E0"/>
    <w:rsid w:val="00B5313B"/>
    <w:rsid w:val="00B53EA6"/>
    <w:rsid w:val="00B5443F"/>
    <w:rsid w:val="00B54C7F"/>
    <w:rsid w:val="00B55D2D"/>
    <w:rsid w:val="00B55DB1"/>
    <w:rsid w:val="00B6068C"/>
    <w:rsid w:val="00B61469"/>
    <w:rsid w:val="00B620E7"/>
    <w:rsid w:val="00B6260B"/>
    <w:rsid w:val="00B62701"/>
    <w:rsid w:val="00B62BE6"/>
    <w:rsid w:val="00B63329"/>
    <w:rsid w:val="00B649F4"/>
    <w:rsid w:val="00B64A38"/>
    <w:rsid w:val="00B64D2E"/>
    <w:rsid w:val="00B66155"/>
    <w:rsid w:val="00B667F0"/>
    <w:rsid w:val="00B67319"/>
    <w:rsid w:val="00B71A31"/>
    <w:rsid w:val="00B7240D"/>
    <w:rsid w:val="00B72559"/>
    <w:rsid w:val="00B7311E"/>
    <w:rsid w:val="00B7316C"/>
    <w:rsid w:val="00B7347E"/>
    <w:rsid w:val="00B73969"/>
    <w:rsid w:val="00B74F1D"/>
    <w:rsid w:val="00B768DA"/>
    <w:rsid w:val="00B802C9"/>
    <w:rsid w:val="00B80FCA"/>
    <w:rsid w:val="00B810A0"/>
    <w:rsid w:val="00B81848"/>
    <w:rsid w:val="00B8195A"/>
    <w:rsid w:val="00B81FA8"/>
    <w:rsid w:val="00B83112"/>
    <w:rsid w:val="00B84575"/>
    <w:rsid w:val="00B84B64"/>
    <w:rsid w:val="00B85DDC"/>
    <w:rsid w:val="00B87EC3"/>
    <w:rsid w:val="00B926D8"/>
    <w:rsid w:val="00B9418A"/>
    <w:rsid w:val="00B94892"/>
    <w:rsid w:val="00B9581C"/>
    <w:rsid w:val="00B95D05"/>
    <w:rsid w:val="00B974BF"/>
    <w:rsid w:val="00B97951"/>
    <w:rsid w:val="00BA0A9F"/>
    <w:rsid w:val="00BA0F55"/>
    <w:rsid w:val="00BA2E00"/>
    <w:rsid w:val="00BA514A"/>
    <w:rsid w:val="00BA5705"/>
    <w:rsid w:val="00BA7009"/>
    <w:rsid w:val="00BB0BE3"/>
    <w:rsid w:val="00BB129E"/>
    <w:rsid w:val="00BB1781"/>
    <w:rsid w:val="00BB1E73"/>
    <w:rsid w:val="00BB23B3"/>
    <w:rsid w:val="00BB3FEF"/>
    <w:rsid w:val="00BB4090"/>
    <w:rsid w:val="00BB5520"/>
    <w:rsid w:val="00BB5669"/>
    <w:rsid w:val="00BB617B"/>
    <w:rsid w:val="00BB6745"/>
    <w:rsid w:val="00BB6B82"/>
    <w:rsid w:val="00BB6BA0"/>
    <w:rsid w:val="00BB6CD6"/>
    <w:rsid w:val="00BC0FE5"/>
    <w:rsid w:val="00BC319A"/>
    <w:rsid w:val="00BC4922"/>
    <w:rsid w:val="00BC4B41"/>
    <w:rsid w:val="00BC5595"/>
    <w:rsid w:val="00BC59AE"/>
    <w:rsid w:val="00BC6393"/>
    <w:rsid w:val="00BD2B23"/>
    <w:rsid w:val="00BD4684"/>
    <w:rsid w:val="00BD49D7"/>
    <w:rsid w:val="00BD6DB5"/>
    <w:rsid w:val="00BD6FA6"/>
    <w:rsid w:val="00BE18AE"/>
    <w:rsid w:val="00BE1A98"/>
    <w:rsid w:val="00BE2474"/>
    <w:rsid w:val="00BE2E9A"/>
    <w:rsid w:val="00BE3E67"/>
    <w:rsid w:val="00BE62AC"/>
    <w:rsid w:val="00BE63F6"/>
    <w:rsid w:val="00BE69F5"/>
    <w:rsid w:val="00BE6B89"/>
    <w:rsid w:val="00BE6FE3"/>
    <w:rsid w:val="00BE7E87"/>
    <w:rsid w:val="00BF14B1"/>
    <w:rsid w:val="00BF17A5"/>
    <w:rsid w:val="00BF2C64"/>
    <w:rsid w:val="00BF42AB"/>
    <w:rsid w:val="00BF4ED9"/>
    <w:rsid w:val="00BF50B1"/>
    <w:rsid w:val="00BF5B02"/>
    <w:rsid w:val="00BF5D43"/>
    <w:rsid w:val="00BF71EB"/>
    <w:rsid w:val="00BF7486"/>
    <w:rsid w:val="00C01439"/>
    <w:rsid w:val="00C0192E"/>
    <w:rsid w:val="00C01D5D"/>
    <w:rsid w:val="00C02208"/>
    <w:rsid w:val="00C02912"/>
    <w:rsid w:val="00C05492"/>
    <w:rsid w:val="00C06388"/>
    <w:rsid w:val="00C067AF"/>
    <w:rsid w:val="00C06E35"/>
    <w:rsid w:val="00C121D8"/>
    <w:rsid w:val="00C13650"/>
    <w:rsid w:val="00C13E94"/>
    <w:rsid w:val="00C15E2E"/>
    <w:rsid w:val="00C15FA7"/>
    <w:rsid w:val="00C17396"/>
    <w:rsid w:val="00C17E5A"/>
    <w:rsid w:val="00C203FC"/>
    <w:rsid w:val="00C23F3F"/>
    <w:rsid w:val="00C24B2E"/>
    <w:rsid w:val="00C25900"/>
    <w:rsid w:val="00C25A94"/>
    <w:rsid w:val="00C260AC"/>
    <w:rsid w:val="00C2736C"/>
    <w:rsid w:val="00C2751D"/>
    <w:rsid w:val="00C305C7"/>
    <w:rsid w:val="00C306F7"/>
    <w:rsid w:val="00C30712"/>
    <w:rsid w:val="00C328EB"/>
    <w:rsid w:val="00C338A6"/>
    <w:rsid w:val="00C3495E"/>
    <w:rsid w:val="00C34F18"/>
    <w:rsid w:val="00C404A3"/>
    <w:rsid w:val="00C41316"/>
    <w:rsid w:val="00C42665"/>
    <w:rsid w:val="00C43362"/>
    <w:rsid w:val="00C436FE"/>
    <w:rsid w:val="00C43C68"/>
    <w:rsid w:val="00C44D91"/>
    <w:rsid w:val="00C453E2"/>
    <w:rsid w:val="00C454A1"/>
    <w:rsid w:val="00C46940"/>
    <w:rsid w:val="00C46BBE"/>
    <w:rsid w:val="00C46F75"/>
    <w:rsid w:val="00C47AE9"/>
    <w:rsid w:val="00C524E3"/>
    <w:rsid w:val="00C532E2"/>
    <w:rsid w:val="00C5434D"/>
    <w:rsid w:val="00C563CA"/>
    <w:rsid w:val="00C57CC3"/>
    <w:rsid w:val="00C60465"/>
    <w:rsid w:val="00C6052F"/>
    <w:rsid w:val="00C60A5D"/>
    <w:rsid w:val="00C60D4A"/>
    <w:rsid w:val="00C60EF3"/>
    <w:rsid w:val="00C60F21"/>
    <w:rsid w:val="00C6149F"/>
    <w:rsid w:val="00C6489D"/>
    <w:rsid w:val="00C64ECC"/>
    <w:rsid w:val="00C65059"/>
    <w:rsid w:val="00C6537B"/>
    <w:rsid w:val="00C7091C"/>
    <w:rsid w:val="00C71BCF"/>
    <w:rsid w:val="00C7270B"/>
    <w:rsid w:val="00C73460"/>
    <w:rsid w:val="00C73E32"/>
    <w:rsid w:val="00C74FC6"/>
    <w:rsid w:val="00C76DF9"/>
    <w:rsid w:val="00C77469"/>
    <w:rsid w:val="00C77A9F"/>
    <w:rsid w:val="00C8067E"/>
    <w:rsid w:val="00C824D1"/>
    <w:rsid w:val="00C83120"/>
    <w:rsid w:val="00C871C6"/>
    <w:rsid w:val="00C90D4D"/>
    <w:rsid w:val="00C915A2"/>
    <w:rsid w:val="00C91FCF"/>
    <w:rsid w:val="00C927E7"/>
    <w:rsid w:val="00C93B0A"/>
    <w:rsid w:val="00C951A3"/>
    <w:rsid w:val="00C967DD"/>
    <w:rsid w:val="00C96F95"/>
    <w:rsid w:val="00CA01B2"/>
    <w:rsid w:val="00CA1058"/>
    <w:rsid w:val="00CA3C07"/>
    <w:rsid w:val="00CA4288"/>
    <w:rsid w:val="00CA4560"/>
    <w:rsid w:val="00CA473F"/>
    <w:rsid w:val="00CA5E1C"/>
    <w:rsid w:val="00CA7555"/>
    <w:rsid w:val="00CB01E9"/>
    <w:rsid w:val="00CB08E2"/>
    <w:rsid w:val="00CB14EE"/>
    <w:rsid w:val="00CB1FED"/>
    <w:rsid w:val="00CB2558"/>
    <w:rsid w:val="00CB3776"/>
    <w:rsid w:val="00CB37B8"/>
    <w:rsid w:val="00CB4728"/>
    <w:rsid w:val="00CB5852"/>
    <w:rsid w:val="00CB6263"/>
    <w:rsid w:val="00CB66DE"/>
    <w:rsid w:val="00CB6B1E"/>
    <w:rsid w:val="00CB7B64"/>
    <w:rsid w:val="00CC0AE5"/>
    <w:rsid w:val="00CC0BBC"/>
    <w:rsid w:val="00CC17A3"/>
    <w:rsid w:val="00CC192E"/>
    <w:rsid w:val="00CC239A"/>
    <w:rsid w:val="00CC2BE2"/>
    <w:rsid w:val="00CC3680"/>
    <w:rsid w:val="00CC57BF"/>
    <w:rsid w:val="00CC5D51"/>
    <w:rsid w:val="00CC7ABF"/>
    <w:rsid w:val="00CC7BD8"/>
    <w:rsid w:val="00CD028F"/>
    <w:rsid w:val="00CD0512"/>
    <w:rsid w:val="00CD07F3"/>
    <w:rsid w:val="00CD09CD"/>
    <w:rsid w:val="00CD1494"/>
    <w:rsid w:val="00CD534E"/>
    <w:rsid w:val="00CD6233"/>
    <w:rsid w:val="00CD6823"/>
    <w:rsid w:val="00CD7A5A"/>
    <w:rsid w:val="00CD7EB3"/>
    <w:rsid w:val="00CE09F7"/>
    <w:rsid w:val="00CE2C5B"/>
    <w:rsid w:val="00CE2C8F"/>
    <w:rsid w:val="00CE2D2D"/>
    <w:rsid w:val="00CE44BF"/>
    <w:rsid w:val="00CE56B9"/>
    <w:rsid w:val="00CE5FAA"/>
    <w:rsid w:val="00CE6713"/>
    <w:rsid w:val="00CE6DFD"/>
    <w:rsid w:val="00CE726F"/>
    <w:rsid w:val="00CE752F"/>
    <w:rsid w:val="00CF0280"/>
    <w:rsid w:val="00CF03C7"/>
    <w:rsid w:val="00CF06C5"/>
    <w:rsid w:val="00CF1022"/>
    <w:rsid w:val="00CF1666"/>
    <w:rsid w:val="00CF24BC"/>
    <w:rsid w:val="00CF28C3"/>
    <w:rsid w:val="00CF43D6"/>
    <w:rsid w:val="00CF54B0"/>
    <w:rsid w:val="00CF5748"/>
    <w:rsid w:val="00CF5901"/>
    <w:rsid w:val="00CF7F8E"/>
    <w:rsid w:val="00D00D5F"/>
    <w:rsid w:val="00D00F5E"/>
    <w:rsid w:val="00D026DE"/>
    <w:rsid w:val="00D035C4"/>
    <w:rsid w:val="00D0414E"/>
    <w:rsid w:val="00D06335"/>
    <w:rsid w:val="00D07EF1"/>
    <w:rsid w:val="00D1058A"/>
    <w:rsid w:val="00D10E22"/>
    <w:rsid w:val="00D12F75"/>
    <w:rsid w:val="00D1303C"/>
    <w:rsid w:val="00D13CC9"/>
    <w:rsid w:val="00D16E7D"/>
    <w:rsid w:val="00D17AFB"/>
    <w:rsid w:val="00D201CD"/>
    <w:rsid w:val="00D2100D"/>
    <w:rsid w:val="00D2120F"/>
    <w:rsid w:val="00D21352"/>
    <w:rsid w:val="00D21CA3"/>
    <w:rsid w:val="00D22CC4"/>
    <w:rsid w:val="00D23417"/>
    <w:rsid w:val="00D24CE2"/>
    <w:rsid w:val="00D24E27"/>
    <w:rsid w:val="00D30AC1"/>
    <w:rsid w:val="00D315AB"/>
    <w:rsid w:val="00D31721"/>
    <w:rsid w:val="00D31E76"/>
    <w:rsid w:val="00D34ECA"/>
    <w:rsid w:val="00D36E90"/>
    <w:rsid w:val="00D4144D"/>
    <w:rsid w:val="00D419AD"/>
    <w:rsid w:val="00D44943"/>
    <w:rsid w:val="00D45C34"/>
    <w:rsid w:val="00D46602"/>
    <w:rsid w:val="00D467D3"/>
    <w:rsid w:val="00D543FA"/>
    <w:rsid w:val="00D55EAB"/>
    <w:rsid w:val="00D5601D"/>
    <w:rsid w:val="00D57E4F"/>
    <w:rsid w:val="00D605AC"/>
    <w:rsid w:val="00D61834"/>
    <w:rsid w:val="00D61AB6"/>
    <w:rsid w:val="00D61DC7"/>
    <w:rsid w:val="00D62223"/>
    <w:rsid w:val="00D6282F"/>
    <w:rsid w:val="00D63B94"/>
    <w:rsid w:val="00D646DA"/>
    <w:rsid w:val="00D64C6E"/>
    <w:rsid w:val="00D67E33"/>
    <w:rsid w:val="00D67E90"/>
    <w:rsid w:val="00D7208B"/>
    <w:rsid w:val="00D729AB"/>
    <w:rsid w:val="00D72EC6"/>
    <w:rsid w:val="00D735F2"/>
    <w:rsid w:val="00D73770"/>
    <w:rsid w:val="00D7451D"/>
    <w:rsid w:val="00D7665C"/>
    <w:rsid w:val="00D77860"/>
    <w:rsid w:val="00D77B5F"/>
    <w:rsid w:val="00D80237"/>
    <w:rsid w:val="00D80C35"/>
    <w:rsid w:val="00D8185F"/>
    <w:rsid w:val="00D82228"/>
    <w:rsid w:val="00D827FC"/>
    <w:rsid w:val="00D839FC"/>
    <w:rsid w:val="00D86D52"/>
    <w:rsid w:val="00D9086D"/>
    <w:rsid w:val="00D90BB8"/>
    <w:rsid w:val="00D91A0F"/>
    <w:rsid w:val="00D91CD2"/>
    <w:rsid w:val="00D91F75"/>
    <w:rsid w:val="00D9235B"/>
    <w:rsid w:val="00D93C0A"/>
    <w:rsid w:val="00D94FB0"/>
    <w:rsid w:val="00D95832"/>
    <w:rsid w:val="00D96F23"/>
    <w:rsid w:val="00D96F5F"/>
    <w:rsid w:val="00DA0E1C"/>
    <w:rsid w:val="00DA2433"/>
    <w:rsid w:val="00DA7545"/>
    <w:rsid w:val="00DB14EC"/>
    <w:rsid w:val="00DB194B"/>
    <w:rsid w:val="00DB1E79"/>
    <w:rsid w:val="00DB21E8"/>
    <w:rsid w:val="00DB39B1"/>
    <w:rsid w:val="00DB577E"/>
    <w:rsid w:val="00DB5E33"/>
    <w:rsid w:val="00DC09D5"/>
    <w:rsid w:val="00DC2346"/>
    <w:rsid w:val="00DC2B25"/>
    <w:rsid w:val="00DC4572"/>
    <w:rsid w:val="00DC4A66"/>
    <w:rsid w:val="00DC4AA6"/>
    <w:rsid w:val="00DC5FC1"/>
    <w:rsid w:val="00DD0493"/>
    <w:rsid w:val="00DD1954"/>
    <w:rsid w:val="00DD1CAE"/>
    <w:rsid w:val="00DD2517"/>
    <w:rsid w:val="00DD2BA4"/>
    <w:rsid w:val="00DD3143"/>
    <w:rsid w:val="00DD3D3A"/>
    <w:rsid w:val="00DD7346"/>
    <w:rsid w:val="00DE091D"/>
    <w:rsid w:val="00DE434A"/>
    <w:rsid w:val="00DE576E"/>
    <w:rsid w:val="00DE5844"/>
    <w:rsid w:val="00DE5B70"/>
    <w:rsid w:val="00DE6870"/>
    <w:rsid w:val="00DE78E1"/>
    <w:rsid w:val="00DF18D4"/>
    <w:rsid w:val="00DF496D"/>
    <w:rsid w:val="00DF5531"/>
    <w:rsid w:val="00DF7183"/>
    <w:rsid w:val="00DF7253"/>
    <w:rsid w:val="00E022A9"/>
    <w:rsid w:val="00E02929"/>
    <w:rsid w:val="00E05151"/>
    <w:rsid w:val="00E05816"/>
    <w:rsid w:val="00E06592"/>
    <w:rsid w:val="00E0672E"/>
    <w:rsid w:val="00E07936"/>
    <w:rsid w:val="00E100B5"/>
    <w:rsid w:val="00E11072"/>
    <w:rsid w:val="00E11C8D"/>
    <w:rsid w:val="00E12CBA"/>
    <w:rsid w:val="00E13E37"/>
    <w:rsid w:val="00E13EA4"/>
    <w:rsid w:val="00E1430B"/>
    <w:rsid w:val="00E14D2E"/>
    <w:rsid w:val="00E14E53"/>
    <w:rsid w:val="00E16802"/>
    <w:rsid w:val="00E177BB"/>
    <w:rsid w:val="00E20C1A"/>
    <w:rsid w:val="00E214E1"/>
    <w:rsid w:val="00E27BC3"/>
    <w:rsid w:val="00E32718"/>
    <w:rsid w:val="00E32A3A"/>
    <w:rsid w:val="00E33002"/>
    <w:rsid w:val="00E3600C"/>
    <w:rsid w:val="00E36704"/>
    <w:rsid w:val="00E378B5"/>
    <w:rsid w:val="00E379E0"/>
    <w:rsid w:val="00E37CB5"/>
    <w:rsid w:val="00E40B3E"/>
    <w:rsid w:val="00E41442"/>
    <w:rsid w:val="00E428FB"/>
    <w:rsid w:val="00E435B6"/>
    <w:rsid w:val="00E439C4"/>
    <w:rsid w:val="00E44B3C"/>
    <w:rsid w:val="00E45A22"/>
    <w:rsid w:val="00E46B53"/>
    <w:rsid w:val="00E46C34"/>
    <w:rsid w:val="00E5006D"/>
    <w:rsid w:val="00E50454"/>
    <w:rsid w:val="00E50B69"/>
    <w:rsid w:val="00E50ECD"/>
    <w:rsid w:val="00E5285C"/>
    <w:rsid w:val="00E56CB8"/>
    <w:rsid w:val="00E57141"/>
    <w:rsid w:val="00E57BC7"/>
    <w:rsid w:val="00E603D2"/>
    <w:rsid w:val="00E6193B"/>
    <w:rsid w:val="00E623C3"/>
    <w:rsid w:val="00E64CCD"/>
    <w:rsid w:val="00E6504B"/>
    <w:rsid w:val="00E65BFD"/>
    <w:rsid w:val="00E6707E"/>
    <w:rsid w:val="00E704E1"/>
    <w:rsid w:val="00E70788"/>
    <w:rsid w:val="00E72C85"/>
    <w:rsid w:val="00E73ED3"/>
    <w:rsid w:val="00E75277"/>
    <w:rsid w:val="00E7530C"/>
    <w:rsid w:val="00E7544C"/>
    <w:rsid w:val="00E761A8"/>
    <w:rsid w:val="00E77867"/>
    <w:rsid w:val="00E77F73"/>
    <w:rsid w:val="00E8049B"/>
    <w:rsid w:val="00E805A4"/>
    <w:rsid w:val="00E80ABC"/>
    <w:rsid w:val="00E81F1E"/>
    <w:rsid w:val="00E820A3"/>
    <w:rsid w:val="00E836E1"/>
    <w:rsid w:val="00E83A6B"/>
    <w:rsid w:val="00E84536"/>
    <w:rsid w:val="00E85A0C"/>
    <w:rsid w:val="00E85DD8"/>
    <w:rsid w:val="00E87866"/>
    <w:rsid w:val="00E9046C"/>
    <w:rsid w:val="00E91A81"/>
    <w:rsid w:val="00E922A4"/>
    <w:rsid w:val="00E92FCE"/>
    <w:rsid w:val="00E93CC4"/>
    <w:rsid w:val="00E93FF3"/>
    <w:rsid w:val="00E949C1"/>
    <w:rsid w:val="00E95EFC"/>
    <w:rsid w:val="00E9656D"/>
    <w:rsid w:val="00E965EF"/>
    <w:rsid w:val="00EA11C9"/>
    <w:rsid w:val="00EA1852"/>
    <w:rsid w:val="00EA1A14"/>
    <w:rsid w:val="00EA1CEC"/>
    <w:rsid w:val="00EA1E69"/>
    <w:rsid w:val="00EA1E75"/>
    <w:rsid w:val="00EA1EBE"/>
    <w:rsid w:val="00EA2429"/>
    <w:rsid w:val="00EA2CBC"/>
    <w:rsid w:val="00EA309A"/>
    <w:rsid w:val="00EA32E9"/>
    <w:rsid w:val="00EA3827"/>
    <w:rsid w:val="00EA3F19"/>
    <w:rsid w:val="00EA40BD"/>
    <w:rsid w:val="00EA422C"/>
    <w:rsid w:val="00EA7203"/>
    <w:rsid w:val="00EA7326"/>
    <w:rsid w:val="00EB0236"/>
    <w:rsid w:val="00EB051D"/>
    <w:rsid w:val="00EB2019"/>
    <w:rsid w:val="00EB3057"/>
    <w:rsid w:val="00EB3857"/>
    <w:rsid w:val="00EB3D9F"/>
    <w:rsid w:val="00EB536E"/>
    <w:rsid w:val="00EC082E"/>
    <w:rsid w:val="00EC1DB7"/>
    <w:rsid w:val="00EC2790"/>
    <w:rsid w:val="00EC3AE8"/>
    <w:rsid w:val="00EC4179"/>
    <w:rsid w:val="00EC460F"/>
    <w:rsid w:val="00EC51FD"/>
    <w:rsid w:val="00EC54F2"/>
    <w:rsid w:val="00EC5792"/>
    <w:rsid w:val="00EC57CB"/>
    <w:rsid w:val="00EC5AF3"/>
    <w:rsid w:val="00EC5DD9"/>
    <w:rsid w:val="00EC63CE"/>
    <w:rsid w:val="00EC6D6F"/>
    <w:rsid w:val="00ED1B0D"/>
    <w:rsid w:val="00ED1C72"/>
    <w:rsid w:val="00ED39DF"/>
    <w:rsid w:val="00ED4E5D"/>
    <w:rsid w:val="00ED52D4"/>
    <w:rsid w:val="00ED5FFD"/>
    <w:rsid w:val="00ED63DB"/>
    <w:rsid w:val="00EE0640"/>
    <w:rsid w:val="00EE28C1"/>
    <w:rsid w:val="00EE30F6"/>
    <w:rsid w:val="00EE474B"/>
    <w:rsid w:val="00EE5933"/>
    <w:rsid w:val="00EE69D9"/>
    <w:rsid w:val="00EE6F8A"/>
    <w:rsid w:val="00EE76D5"/>
    <w:rsid w:val="00EF0224"/>
    <w:rsid w:val="00EF17B5"/>
    <w:rsid w:val="00EF1832"/>
    <w:rsid w:val="00EF20B1"/>
    <w:rsid w:val="00EF20E8"/>
    <w:rsid w:val="00EF25FE"/>
    <w:rsid w:val="00EF263A"/>
    <w:rsid w:val="00EF4EB1"/>
    <w:rsid w:val="00EF54CF"/>
    <w:rsid w:val="00EF6157"/>
    <w:rsid w:val="00EF6E01"/>
    <w:rsid w:val="00EF753C"/>
    <w:rsid w:val="00F020CB"/>
    <w:rsid w:val="00F0255B"/>
    <w:rsid w:val="00F028B8"/>
    <w:rsid w:val="00F03B98"/>
    <w:rsid w:val="00F059A2"/>
    <w:rsid w:val="00F07D01"/>
    <w:rsid w:val="00F114C7"/>
    <w:rsid w:val="00F11D79"/>
    <w:rsid w:val="00F123EA"/>
    <w:rsid w:val="00F12C12"/>
    <w:rsid w:val="00F136F6"/>
    <w:rsid w:val="00F139DD"/>
    <w:rsid w:val="00F15E52"/>
    <w:rsid w:val="00F17D0B"/>
    <w:rsid w:val="00F21259"/>
    <w:rsid w:val="00F21C3B"/>
    <w:rsid w:val="00F21DA5"/>
    <w:rsid w:val="00F22722"/>
    <w:rsid w:val="00F228BC"/>
    <w:rsid w:val="00F23392"/>
    <w:rsid w:val="00F23A73"/>
    <w:rsid w:val="00F24E10"/>
    <w:rsid w:val="00F2555C"/>
    <w:rsid w:val="00F2638C"/>
    <w:rsid w:val="00F26975"/>
    <w:rsid w:val="00F272E8"/>
    <w:rsid w:val="00F27835"/>
    <w:rsid w:val="00F318B1"/>
    <w:rsid w:val="00F31C31"/>
    <w:rsid w:val="00F32249"/>
    <w:rsid w:val="00F3304D"/>
    <w:rsid w:val="00F34187"/>
    <w:rsid w:val="00F3485F"/>
    <w:rsid w:val="00F349D2"/>
    <w:rsid w:val="00F366E3"/>
    <w:rsid w:val="00F3746C"/>
    <w:rsid w:val="00F40BD2"/>
    <w:rsid w:val="00F4154D"/>
    <w:rsid w:val="00F41666"/>
    <w:rsid w:val="00F4255A"/>
    <w:rsid w:val="00F43153"/>
    <w:rsid w:val="00F4441C"/>
    <w:rsid w:val="00F45023"/>
    <w:rsid w:val="00F45E27"/>
    <w:rsid w:val="00F46581"/>
    <w:rsid w:val="00F47263"/>
    <w:rsid w:val="00F4784F"/>
    <w:rsid w:val="00F47F64"/>
    <w:rsid w:val="00F52101"/>
    <w:rsid w:val="00F52DF9"/>
    <w:rsid w:val="00F53E2F"/>
    <w:rsid w:val="00F5477E"/>
    <w:rsid w:val="00F54DC6"/>
    <w:rsid w:val="00F55D64"/>
    <w:rsid w:val="00F57EB1"/>
    <w:rsid w:val="00F60917"/>
    <w:rsid w:val="00F61E38"/>
    <w:rsid w:val="00F627EA"/>
    <w:rsid w:val="00F6313A"/>
    <w:rsid w:val="00F63260"/>
    <w:rsid w:val="00F6346D"/>
    <w:rsid w:val="00F64186"/>
    <w:rsid w:val="00F6555A"/>
    <w:rsid w:val="00F6681B"/>
    <w:rsid w:val="00F71D42"/>
    <w:rsid w:val="00F74CEC"/>
    <w:rsid w:val="00F75566"/>
    <w:rsid w:val="00F759D6"/>
    <w:rsid w:val="00F7626C"/>
    <w:rsid w:val="00F77341"/>
    <w:rsid w:val="00F77732"/>
    <w:rsid w:val="00F8068F"/>
    <w:rsid w:val="00F80A32"/>
    <w:rsid w:val="00F80E2E"/>
    <w:rsid w:val="00F814C3"/>
    <w:rsid w:val="00F8261E"/>
    <w:rsid w:val="00F82763"/>
    <w:rsid w:val="00F84DC4"/>
    <w:rsid w:val="00F86BA8"/>
    <w:rsid w:val="00F87885"/>
    <w:rsid w:val="00F87B2A"/>
    <w:rsid w:val="00F9106E"/>
    <w:rsid w:val="00F92707"/>
    <w:rsid w:val="00F927FC"/>
    <w:rsid w:val="00F93459"/>
    <w:rsid w:val="00F94E45"/>
    <w:rsid w:val="00F954BE"/>
    <w:rsid w:val="00F9611C"/>
    <w:rsid w:val="00F976BF"/>
    <w:rsid w:val="00F97F0A"/>
    <w:rsid w:val="00FA17FA"/>
    <w:rsid w:val="00FA1F03"/>
    <w:rsid w:val="00FA2BA0"/>
    <w:rsid w:val="00FA4242"/>
    <w:rsid w:val="00FA5433"/>
    <w:rsid w:val="00FA5441"/>
    <w:rsid w:val="00FB1B38"/>
    <w:rsid w:val="00FB2902"/>
    <w:rsid w:val="00FB30EF"/>
    <w:rsid w:val="00FB32FC"/>
    <w:rsid w:val="00FB4222"/>
    <w:rsid w:val="00FB4312"/>
    <w:rsid w:val="00FB5E69"/>
    <w:rsid w:val="00FB71EE"/>
    <w:rsid w:val="00FC058C"/>
    <w:rsid w:val="00FC0697"/>
    <w:rsid w:val="00FC0B51"/>
    <w:rsid w:val="00FC1007"/>
    <w:rsid w:val="00FC1274"/>
    <w:rsid w:val="00FC1547"/>
    <w:rsid w:val="00FC20F0"/>
    <w:rsid w:val="00FC2D30"/>
    <w:rsid w:val="00FC2D4D"/>
    <w:rsid w:val="00FC47E3"/>
    <w:rsid w:val="00FC4C74"/>
    <w:rsid w:val="00FC5808"/>
    <w:rsid w:val="00FD055F"/>
    <w:rsid w:val="00FD12C8"/>
    <w:rsid w:val="00FD1A26"/>
    <w:rsid w:val="00FD22B7"/>
    <w:rsid w:val="00FD246F"/>
    <w:rsid w:val="00FD34BA"/>
    <w:rsid w:val="00FD3529"/>
    <w:rsid w:val="00FD4B2A"/>
    <w:rsid w:val="00FD4DFA"/>
    <w:rsid w:val="00FD4FFB"/>
    <w:rsid w:val="00FD58B8"/>
    <w:rsid w:val="00FD6317"/>
    <w:rsid w:val="00FD78FC"/>
    <w:rsid w:val="00FE0D4C"/>
    <w:rsid w:val="00FE0FED"/>
    <w:rsid w:val="00FE13AD"/>
    <w:rsid w:val="00FE369B"/>
    <w:rsid w:val="00FE48FA"/>
    <w:rsid w:val="00FE64BF"/>
    <w:rsid w:val="00FE6D95"/>
    <w:rsid w:val="00FF072D"/>
    <w:rsid w:val="00FF0B7C"/>
    <w:rsid w:val="00FF0B9A"/>
    <w:rsid w:val="00FF1313"/>
    <w:rsid w:val="00FF1F89"/>
    <w:rsid w:val="00FF2123"/>
    <w:rsid w:val="00FF462E"/>
    <w:rsid w:val="00FF466A"/>
    <w:rsid w:val="00FF740B"/>
    <w:rsid w:val="00FF7B1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EBC00"/>
  <w15:docId w15:val="{247E1D08-EC41-451A-96BA-90E204ED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4B"/>
  </w:style>
  <w:style w:type="paragraph" w:styleId="Heading1">
    <w:name w:val="heading 1"/>
    <w:basedOn w:val="ListParagraph"/>
    <w:next w:val="Normal"/>
    <w:link w:val="Heading1Char"/>
    <w:uiPriority w:val="9"/>
    <w:qFormat/>
    <w:rsid w:val="007570DC"/>
    <w:pPr>
      <w:spacing w:before="120" w:after="120" w:line="240" w:lineRule="auto"/>
      <w:ind w:left="0"/>
      <w:contextualSpacing w:val="0"/>
      <w:jc w:val="both"/>
      <w:outlineLvl w:val="0"/>
    </w:pPr>
    <w:rPr>
      <w:rFonts w:ascii="Times New Roman" w:hAnsi="Times New Roman" w:cs="Times New Roman"/>
      <w:b/>
      <w:color w:val="0070C0"/>
      <w:sz w:val="26"/>
      <w:szCs w:val="26"/>
    </w:rPr>
  </w:style>
  <w:style w:type="paragraph" w:styleId="Heading2">
    <w:name w:val="heading 2"/>
    <w:basedOn w:val="ListParagraph"/>
    <w:next w:val="Normal"/>
    <w:link w:val="Heading2Char"/>
    <w:qFormat/>
    <w:rsid w:val="007570DC"/>
    <w:pPr>
      <w:spacing w:before="120" w:after="120" w:line="240" w:lineRule="auto"/>
      <w:ind w:left="0"/>
      <w:contextualSpacing w:val="0"/>
      <w:jc w:val="both"/>
      <w:outlineLvl w:val="1"/>
    </w:pPr>
    <w:rPr>
      <w:rFonts w:ascii="Times New Roman" w:hAnsi="Times New Roman" w:cs="Times New Roman"/>
      <w:b/>
      <w:color w:val="0070C0"/>
      <w:sz w:val="24"/>
      <w:szCs w:val="24"/>
    </w:rPr>
  </w:style>
  <w:style w:type="paragraph" w:styleId="Heading3">
    <w:name w:val="heading 3"/>
    <w:basedOn w:val="Normal"/>
    <w:next w:val="Normal"/>
    <w:link w:val="Heading3Char"/>
    <w:uiPriority w:val="9"/>
    <w:semiHidden/>
    <w:unhideWhenUsed/>
    <w:qFormat/>
    <w:rsid w:val="00C83120"/>
    <w:pPr>
      <w:keepNext/>
      <w:keepLines/>
      <w:spacing w:before="200" w:after="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uiPriority w:val="9"/>
    <w:semiHidden/>
    <w:unhideWhenUsed/>
    <w:qFormat/>
    <w:rsid w:val="00635331"/>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ПАРАГРАФ,List1,List Paragraph11,List Paragraph111"/>
    <w:basedOn w:val="Normal"/>
    <w:link w:val="ListParagraphChar"/>
    <w:uiPriority w:val="99"/>
    <w:qFormat/>
    <w:rsid w:val="007057A9"/>
    <w:pPr>
      <w:ind w:left="720"/>
      <w:contextualSpacing/>
    </w:p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
    <w:basedOn w:val="Normal"/>
    <w:link w:val="FootnoteTextChar"/>
    <w:unhideWhenUsed/>
    <w:rsid w:val="002325A3"/>
    <w:pPr>
      <w:spacing w:after="0" w:line="240" w:lineRule="auto"/>
    </w:pPr>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rsid w:val="002325A3"/>
    <w:rPr>
      <w:sz w:val="20"/>
      <w:szCs w:val="20"/>
    </w:rPr>
  </w:style>
  <w:style w:type="character" w:styleId="FootnoteReference">
    <w:name w:val="footnote reference"/>
    <w:aliases w:val="Footnote symbol"/>
    <w:basedOn w:val="DefaultParagraphFont"/>
    <w:semiHidden/>
    <w:unhideWhenUsed/>
    <w:rsid w:val="002325A3"/>
    <w:rPr>
      <w:vertAlign w:val="superscript"/>
    </w:rPr>
  </w:style>
  <w:style w:type="paragraph" w:styleId="BalloonText">
    <w:name w:val="Balloon Text"/>
    <w:basedOn w:val="Normal"/>
    <w:link w:val="BalloonTextChar"/>
    <w:uiPriority w:val="99"/>
    <w:semiHidden/>
    <w:unhideWhenUsed/>
    <w:rsid w:val="002D4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B6A"/>
    <w:rPr>
      <w:rFonts w:ascii="Segoe UI" w:hAnsi="Segoe UI" w:cs="Segoe UI"/>
      <w:sz w:val="18"/>
      <w:szCs w:val="18"/>
    </w:rPr>
  </w:style>
  <w:style w:type="paragraph" w:styleId="Header">
    <w:name w:val="header"/>
    <w:basedOn w:val="Normal"/>
    <w:link w:val="HeaderChar"/>
    <w:uiPriority w:val="99"/>
    <w:unhideWhenUsed/>
    <w:rsid w:val="000553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3B8"/>
  </w:style>
  <w:style w:type="paragraph" w:styleId="Footer">
    <w:name w:val="footer"/>
    <w:basedOn w:val="Normal"/>
    <w:link w:val="FooterChar"/>
    <w:uiPriority w:val="99"/>
    <w:unhideWhenUsed/>
    <w:rsid w:val="000553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3B8"/>
  </w:style>
  <w:style w:type="table" w:styleId="TableGrid">
    <w:name w:val="Table Grid"/>
    <w:basedOn w:val="TableNormal"/>
    <w:uiPriority w:val="59"/>
    <w:rsid w:val="00FC0697"/>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61AB6"/>
    <w:rPr>
      <w:sz w:val="16"/>
      <w:szCs w:val="16"/>
    </w:rPr>
  </w:style>
  <w:style w:type="paragraph" w:styleId="CommentText">
    <w:name w:val="annotation text"/>
    <w:basedOn w:val="Normal"/>
    <w:link w:val="CommentTextChar"/>
    <w:uiPriority w:val="99"/>
    <w:unhideWhenUsed/>
    <w:rsid w:val="00D61AB6"/>
    <w:pPr>
      <w:spacing w:line="240" w:lineRule="auto"/>
    </w:pPr>
    <w:rPr>
      <w:sz w:val="20"/>
      <w:szCs w:val="20"/>
    </w:rPr>
  </w:style>
  <w:style w:type="character" w:customStyle="1" w:styleId="CommentTextChar">
    <w:name w:val="Comment Text Char"/>
    <w:basedOn w:val="DefaultParagraphFont"/>
    <w:link w:val="CommentText"/>
    <w:uiPriority w:val="99"/>
    <w:rsid w:val="00D61AB6"/>
    <w:rPr>
      <w:sz w:val="20"/>
      <w:szCs w:val="20"/>
    </w:rPr>
  </w:style>
  <w:style w:type="paragraph" w:styleId="CommentSubject">
    <w:name w:val="annotation subject"/>
    <w:basedOn w:val="CommentText"/>
    <w:next w:val="CommentText"/>
    <w:link w:val="CommentSubjectChar"/>
    <w:uiPriority w:val="99"/>
    <w:semiHidden/>
    <w:unhideWhenUsed/>
    <w:rsid w:val="00D61AB6"/>
    <w:rPr>
      <w:b/>
      <w:bCs/>
    </w:rPr>
  </w:style>
  <w:style w:type="character" w:customStyle="1" w:styleId="CommentSubjectChar">
    <w:name w:val="Comment Subject Char"/>
    <w:basedOn w:val="CommentTextChar"/>
    <w:link w:val="CommentSubject"/>
    <w:uiPriority w:val="99"/>
    <w:semiHidden/>
    <w:rsid w:val="00D61AB6"/>
    <w:rPr>
      <w:b/>
      <w:bCs/>
      <w:sz w:val="20"/>
      <w:szCs w:val="20"/>
    </w:rPr>
  </w:style>
  <w:style w:type="paragraph" w:styleId="TOC6">
    <w:name w:val="toc 6"/>
    <w:basedOn w:val="Normal"/>
    <w:next w:val="Normal"/>
    <w:autoRedefine/>
    <w:uiPriority w:val="39"/>
    <w:rsid w:val="00B81848"/>
    <w:pPr>
      <w:spacing w:after="0"/>
      <w:ind w:left="1100"/>
    </w:pPr>
    <w:rPr>
      <w:sz w:val="20"/>
      <w:szCs w:val="20"/>
    </w:rPr>
  </w:style>
  <w:style w:type="paragraph" w:customStyle="1" w:styleId="TableContents">
    <w:name w:val="Table Contents"/>
    <w:basedOn w:val="BodyText"/>
    <w:rsid w:val="00B81848"/>
    <w:pPr>
      <w:widowControl w:val="0"/>
      <w:suppressLineNumbers/>
      <w:suppressAutoHyphens/>
      <w:spacing w:before="100" w:beforeAutospacing="1" w:after="100" w:afterAutospacing="1" w:line="240" w:lineRule="auto"/>
    </w:pPr>
    <w:rPr>
      <w:rFonts w:ascii="Times New Roman" w:eastAsia="HG Mincho Light J" w:hAnsi="Times New Roman" w:cs="Times New Roman"/>
      <w:color w:val="000000"/>
      <w:sz w:val="24"/>
      <w:szCs w:val="24"/>
      <w:lang w:val="en-US" w:eastAsia="bg-BG"/>
    </w:rPr>
  </w:style>
  <w:style w:type="paragraph" w:customStyle="1" w:styleId="Index">
    <w:name w:val="Index"/>
    <w:basedOn w:val="Normal"/>
    <w:rsid w:val="00B81848"/>
    <w:pPr>
      <w:widowControl w:val="0"/>
      <w:suppressLineNumbers/>
      <w:suppressAutoHyphens/>
      <w:spacing w:after="0" w:line="240" w:lineRule="auto"/>
    </w:pPr>
    <w:rPr>
      <w:rFonts w:ascii="Times New Roman" w:eastAsia="HG Mincho Light J" w:hAnsi="Times New Roman" w:cs="Times New Roman"/>
      <w:color w:val="000000"/>
      <w:sz w:val="24"/>
      <w:szCs w:val="20"/>
      <w:lang w:val="en-US" w:eastAsia="bg-BG"/>
    </w:rPr>
  </w:style>
  <w:style w:type="character" w:styleId="Strong">
    <w:name w:val="Strong"/>
    <w:qFormat/>
    <w:rsid w:val="00B81848"/>
    <w:rPr>
      <w:b/>
      <w:bCs/>
    </w:rPr>
  </w:style>
  <w:style w:type="paragraph" w:customStyle="1" w:styleId="tableheading">
    <w:name w:val="tableheading"/>
    <w:basedOn w:val="Normal"/>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tablecontents0">
    <w:name w:val="tablecontents"/>
    <w:basedOn w:val="Normal"/>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odyText">
    <w:name w:val="Body Text"/>
    <w:basedOn w:val="Normal"/>
    <w:link w:val="BodyTextChar"/>
    <w:uiPriority w:val="99"/>
    <w:semiHidden/>
    <w:unhideWhenUsed/>
    <w:rsid w:val="00B81848"/>
    <w:pPr>
      <w:spacing w:after="120"/>
    </w:pPr>
  </w:style>
  <w:style w:type="character" w:customStyle="1" w:styleId="BodyTextChar">
    <w:name w:val="Body Text Char"/>
    <w:basedOn w:val="DefaultParagraphFont"/>
    <w:link w:val="BodyText"/>
    <w:uiPriority w:val="99"/>
    <w:semiHidden/>
    <w:rsid w:val="00B81848"/>
  </w:style>
  <w:style w:type="paragraph" w:styleId="Title">
    <w:name w:val="Title"/>
    <w:basedOn w:val="Normal"/>
    <w:next w:val="Normal"/>
    <w:link w:val="TitleChar"/>
    <w:qFormat/>
    <w:rsid w:val="00E50B69"/>
    <w:pPr>
      <w:spacing w:after="480" w:line="240" w:lineRule="auto"/>
      <w:jc w:val="center"/>
    </w:pPr>
    <w:rPr>
      <w:rFonts w:ascii="Times New Roman" w:eastAsia="Times New Roman" w:hAnsi="Times New Roman" w:cs="Times New Roman"/>
      <w:b/>
      <w:snapToGrid w:val="0"/>
      <w:sz w:val="48"/>
      <w:szCs w:val="20"/>
      <w:lang w:val="en-GB"/>
    </w:rPr>
  </w:style>
  <w:style w:type="character" w:customStyle="1" w:styleId="TitleChar">
    <w:name w:val="Title Char"/>
    <w:basedOn w:val="DefaultParagraphFont"/>
    <w:link w:val="Title"/>
    <w:rsid w:val="00E50B69"/>
    <w:rPr>
      <w:rFonts w:ascii="Times New Roman" w:eastAsia="Times New Roman" w:hAnsi="Times New Roman" w:cs="Times New Roman"/>
      <w:b/>
      <w:snapToGrid w:val="0"/>
      <w:sz w:val="48"/>
      <w:szCs w:val="20"/>
      <w:lang w:val="en-GB"/>
    </w:rPr>
  </w:style>
  <w:style w:type="character" w:customStyle="1" w:styleId="Heading2Char">
    <w:name w:val="Heading 2 Char"/>
    <w:basedOn w:val="DefaultParagraphFont"/>
    <w:link w:val="Heading2"/>
    <w:rsid w:val="007570DC"/>
    <w:rPr>
      <w:rFonts w:ascii="Times New Roman" w:hAnsi="Times New Roman" w:cs="Times New Roman"/>
      <w:b/>
      <w:color w:val="0070C0"/>
      <w:sz w:val="24"/>
      <w:szCs w:val="24"/>
    </w:rPr>
  </w:style>
  <w:style w:type="paragraph" w:customStyle="1" w:styleId="Guidelines1">
    <w:name w:val="Guidelines 1"/>
    <w:basedOn w:val="TOC1"/>
    <w:rsid w:val="002624D0"/>
    <w:pPr>
      <w:pageBreakBefore/>
      <w:tabs>
        <w:tab w:val="left" w:pos="180"/>
        <w:tab w:val="right" w:leader="dot" w:pos="9900"/>
      </w:tabs>
      <w:spacing w:after="480" w:line="240" w:lineRule="auto"/>
      <w:ind w:left="488" w:right="381" w:hanging="488"/>
      <w:jc w:val="both"/>
    </w:pPr>
    <w:rPr>
      <w:rFonts w:ascii="Times New Roman" w:eastAsia="Times New Roman" w:hAnsi="Times New Roman" w:cs="Times New Roman"/>
      <w:b w:val="0"/>
      <w:caps/>
      <w:noProof/>
      <w:snapToGrid w:val="0"/>
      <w:lang w:val="en-GB"/>
    </w:rPr>
  </w:style>
  <w:style w:type="paragraph" w:customStyle="1" w:styleId="CM1">
    <w:name w:val="CM1"/>
    <w:basedOn w:val="Normal"/>
    <w:next w:val="Normal"/>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customStyle="1" w:styleId="CM4">
    <w:name w:val="CM4"/>
    <w:basedOn w:val="Normal"/>
    <w:next w:val="Normal"/>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styleId="TOC1">
    <w:name w:val="toc 1"/>
    <w:basedOn w:val="Normal"/>
    <w:next w:val="Normal"/>
    <w:autoRedefine/>
    <w:uiPriority w:val="39"/>
    <w:unhideWhenUsed/>
    <w:qFormat/>
    <w:rsid w:val="002624D0"/>
    <w:pPr>
      <w:spacing w:before="120" w:after="0"/>
    </w:pPr>
    <w:rPr>
      <w:b/>
      <w:bCs/>
      <w:sz w:val="24"/>
      <w:szCs w:val="24"/>
    </w:rPr>
  </w:style>
  <w:style w:type="character" w:customStyle="1" w:styleId="Heading1Char">
    <w:name w:val="Heading 1 Char"/>
    <w:basedOn w:val="DefaultParagraphFont"/>
    <w:link w:val="Heading1"/>
    <w:uiPriority w:val="9"/>
    <w:rsid w:val="007570DC"/>
    <w:rPr>
      <w:rFonts w:ascii="Times New Roman" w:hAnsi="Times New Roman" w:cs="Times New Roman"/>
      <w:b/>
      <w:color w:val="0070C0"/>
      <w:sz w:val="26"/>
      <w:szCs w:val="26"/>
    </w:rPr>
  </w:style>
  <w:style w:type="paragraph" w:styleId="TOCHeading">
    <w:name w:val="TOC Heading"/>
    <w:basedOn w:val="Heading1"/>
    <w:next w:val="Normal"/>
    <w:uiPriority w:val="39"/>
    <w:unhideWhenUsed/>
    <w:qFormat/>
    <w:rsid w:val="00EA3F19"/>
    <w:pPr>
      <w:spacing w:line="276" w:lineRule="auto"/>
      <w:outlineLvl w:val="9"/>
    </w:pPr>
    <w:rPr>
      <w:lang w:eastAsia="bg-BG"/>
    </w:rPr>
  </w:style>
  <w:style w:type="paragraph" w:styleId="TOC2">
    <w:name w:val="toc 2"/>
    <w:basedOn w:val="Normal"/>
    <w:next w:val="Normal"/>
    <w:autoRedefine/>
    <w:uiPriority w:val="39"/>
    <w:unhideWhenUsed/>
    <w:qFormat/>
    <w:rsid w:val="00EA3F19"/>
    <w:pPr>
      <w:spacing w:after="0"/>
      <w:ind w:left="220"/>
    </w:pPr>
    <w:rPr>
      <w:b/>
      <w:bCs/>
    </w:rPr>
  </w:style>
  <w:style w:type="character" w:styleId="Hyperlink">
    <w:name w:val="Hyperlink"/>
    <w:basedOn w:val="DefaultParagraphFont"/>
    <w:uiPriority w:val="99"/>
    <w:unhideWhenUsed/>
    <w:rsid w:val="00EA3F19"/>
    <w:rPr>
      <w:color w:val="0563C1" w:themeColor="hyperlink"/>
      <w:u w:val="single"/>
    </w:rPr>
  </w:style>
  <w:style w:type="paragraph" w:styleId="TOC3">
    <w:name w:val="toc 3"/>
    <w:basedOn w:val="Normal"/>
    <w:next w:val="Normal"/>
    <w:autoRedefine/>
    <w:uiPriority w:val="39"/>
    <w:unhideWhenUsed/>
    <w:qFormat/>
    <w:rsid w:val="00EA3F19"/>
    <w:pPr>
      <w:spacing w:after="0"/>
      <w:ind w:left="440"/>
    </w:pPr>
  </w:style>
  <w:style w:type="paragraph" w:styleId="TOC4">
    <w:name w:val="toc 4"/>
    <w:basedOn w:val="Normal"/>
    <w:next w:val="Normal"/>
    <w:autoRedefine/>
    <w:uiPriority w:val="39"/>
    <w:unhideWhenUsed/>
    <w:rsid w:val="00EA3F19"/>
    <w:pPr>
      <w:spacing w:after="0"/>
      <w:ind w:left="660"/>
    </w:pPr>
    <w:rPr>
      <w:sz w:val="20"/>
      <w:szCs w:val="20"/>
    </w:rPr>
  </w:style>
  <w:style w:type="paragraph" w:styleId="TOC5">
    <w:name w:val="toc 5"/>
    <w:basedOn w:val="Normal"/>
    <w:next w:val="Normal"/>
    <w:autoRedefine/>
    <w:uiPriority w:val="39"/>
    <w:unhideWhenUsed/>
    <w:rsid w:val="00EA3F19"/>
    <w:pPr>
      <w:spacing w:after="0"/>
      <w:ind w:left="880"/>
    </w:pPr>
    <w:rPr>
      <w:sz w:val="20"/>
      <w:szCs w:val="20"/>
    </w:rPr>
  </w:style>
  <w:style w:type="paragraph" w:styleId="TOC7">
    <w:name w:val="toc 7"/>
    <w:basedOn w:val="Normal"/>
    <w:next w:val="Normal"/>
    <w:autoRedefine/>
    <w:uiPriority w:val="39"/>
    <w:unhideWhenUsed/>
    <w:rsid w:val="00EA3F19"/>
    <w:pPr>
      <w:spacing w:after="0"/>
      <w:ind w:left="1320"/>
    </w:pPr>
    <w:rPr>
      <w:sz w:val="20"/>
      <w:szCs w:val="20"/>
    </w:rPr>
  </w:style>
  <w:style w:type="paragraph" w:styleId="TOC8">
    <w:name w:val="toc 8"/>
    <w:basedOn w:val="Normal"/>
    <w:next w:val="Normal"/>
    <w:autoRedefine/>
    <w:uiPriority w:val="39"/>
    <w:unhideWhenUsed/>
    <w:rsid w:val="00EA3F19"/>
    <w:pPr>
      <w:spacing w:after="0"/>
      <w:ind w:left="1540"/>
    </w:pPr>
    <w:rPr>
      <w:sz w:val="20"/>
      <w:szCs w:val="20"/>
    </w:rPr>
  </w:style>
  <w:style w:type="paragraph" w:styleId="TOC9">
    <w:name w:val="toc 9"/>
    <w:basedOn w:val="Normal"/>
    <w:next w:val="Normal"/>
    <w:autoRedefine/>
    <w:uiPriority w:val="39"/>
    <w:unhideWhenUsed/>
    <w:rsid w:val="00EA3F19"/>
    <w:pPr>
      <w:spacing w:after="0"/>
      <w:ind w:left="1760"/>
    </w:pPr>
    <w:rPr>
      <w:sz w:val="20"/>
      <w:szCs w:val="20"/>
    </w:rPr>
  </w:style>
  <w:style w:type="paragraph" w:customStyle="1" w:styleId="Text1">
    <w:name w:val="Text 1"/>
    <w:basedOn w:val="Normal"/>
    <w:rsid w:val="00C871C6"/>
    <w:pPr>
      <w:spacing w:after="240" w:line="240" w:lineRule="auto"/>
      <w:ind w:left="482"/>
      <w:jc w:val="both"/>
    </w:pPr>
    <w:rPr>
      <w:rFonts w:ascii="Times New Roman" w:eastAsia="Times New Roman" w:hAnsi="Times New Roman" w:cs="Times New Roman"/>
      <w:snapToGrid w:val="0"/>
      <w:sz w:val="24"/>
      <w:szCs w:val="20"/>
      <w:lang w:val="en-GB"/>
    </w:rPr>
  </w:style>
  <w:style w:type="paragraph" w:customStyle="1" w:styleId="Default">
    <w:name w:val="Default"/>
    <w:rsid w:val="00A8656C"/>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NormalWeb">
    <w:name w:val="Normal (Web)"/>
    <w:basedOn w:val="Normal"/>
    <w:rsid w:val="00B174F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eading6Char">
    <w:name w:val="Heading 6 Char"/>
    <w:basedOn w:val="DefaultParagraphFont"/>
    <w:link w:val="Heading6"/>
    <w:uiPriority w:val="9"/>
    <w:semiHidden/>
    <w:rsid w:val="00635331"/>
    <w:rPr>
      <w:rFonts w:asciiTheme="majorHAnsi" w:eastAsiaTheme="majorEastAsia" w:hAnsiTheme="majorHAnsi" w:cstheme="majorBidi"/>
      <w:i/>
      <w:iCs/>
      <w:color w:val="1F4D78" w:themeColor="accent1" w:themeShade="7F"/>
    </w:rPr>
  </w:style>
  <w:style w:type="paragraph" w:styleId="BodyText3">
    <w:name w:val="Body Text 3"/>
    <w:basedOn w:val="Normal"/>
    <w:link w:val="BodyText3Char"/>
    <w:uiPriority w:val="99"/>
    <w:unhideWhenUsed/>
    <w:rsid w:val="00635331"/>
    <w:pPr>
      <w:spacing w:after="120"/>
    </w:pPr>
    <w:rPr>
      <w:sz w:val="16"/>
      <w:szCs w:val="16"/>
    </w:rPr>
  </w:style>
  <w:style w:type="character" w:customStyle="1" w:styleId="BodyText3Char">
    <w:name w:val="Body Text 3 Char"/>
    <w:basedOn w:val="DefaultParagraphFont"/>
    <w:link w:val="BodyText3"/>
    <w:uiPriority w:val="99"/>
    <w:rsid w:val="00635331"/>
    <w:rPr>
      <w:sz w:val="16"/>
      <w:szCs w:val="16"/>
    </w:rPr>
  </w:style>
  <w:style w:type="paragraph" w:styleId="ListBullet">
    <w:name w:val="List Bullet"/>
    <w:basedOn w:val="Normal"/>
    <w:autoRedefine/>
    <w:rsid w:val="00786BEA"/>
    <w:pPr>
      <w:tabs>
        <w:tab w:val="left" w:pos="360"/>
      </w:tabs>
      <w:spacing w:after="0" w:line="240" w:lineRule="auto"/>
      <w:jc w:val="both"/>
    </w:pPr>
    <w:rPr>
      <w:rFonts w:ascii="Times New Roman" w:eastAsia="Times New Roman" w:hAnsi="Times New Roman" w:cs="Times New Roman"/>
      <w:sz w:val="24"/>
      <w:szCs w:val="20"/>
      <w:lang w:val="en-GB" w:eastAsia="en-GB"/>
    </w:rPr>
  </w:style>
  <w:style w:type="paragraph" w:customStyle="1" w:styleId="GfAheading1">
    <w:name w:val="GfA heading 1"/>
    <w:basedOn w:val="Normal"/>
    <w:rsid w:val="00C6489D"/>
    <w:pPr>
      <w:numPr>
        <w:numId w:val="2"/>
      </w:numPr>
      <w:spacing w:after="0" w:line="240" w:lineRule="auto"/>
    </w:pPr>
    <w:rPr>
      <w:rFonts w:ascii="Times New Roman" w:eastAsia="Times New Roman" w:hAnsi="Times New Roman" w:cs="Times New Roman"/>
      <w:b/>
      <w:snapToGrid w:val="0"/>
      <w:sz w:val="24"/>
      <w:szCs w:val="24"/>
    </w:rPr>
  </w:style>
  <w:style w:type="paragraph" w:customStyle="1" w:styleId="Guidelines2">
    <w:name w:val="Guidelines 2"/>
    <w:basedOn w:val="Normal"/>
    <w:rsid w:val="00F059A2"/>
    <w:pPr>
      <w:spacing w:before="240" w:after="240" w:line="240" w:lineRule="auto"/>
      <w:jc w:val="both"/>
    </w:pPr>
    <w:rPr>
      <w:rFonts w:ascii="Times New Roman" w:eastAsia="Times New Roman" w:hAnsi="Times New Roman" w:cs="Times New Roman"/>
      <w:b/>
      <w:smallCaps/>
      <w:snapToGrid w:val="0"/>
      <w:sz w:val="24"/>
      <w:szCs w:val="20"/>
      <w:lang w:val="en-GB"/>
    </w:rPr>
  </w:style>
  <w:style w:type="paragraph" w:customStyle="1" w:styleId="firstline">
    <w:name w:val="firstline"/>
    <w:basedOn w:val="Normal"/>
    <w:rsid w:val="00D00F5E"/>
    <w:pPr>
      <w:spacing w:after="0" w:line="240" w:lineRule="atLeast"/>
      <w:ind w:firstLine="640"/>
      <w:jc w:val="both"/>
    </w:pPr>
    <w:rPr>
      <w:rFonts w:ascii="Times New Roman" w:eastAsia="Times New Roman" w:hAnsi="Times New Roman" w:cs="Times New Roman"/>
      <w:color w:val="000000"/>
      <w:sz w:val="24"/>
      <w:szCs w:val="24"/>
      <w:lang w:eastAsia="bg-BG"/>
    </w:rPr>
  </w:style>
  <w:style w:type="character" w:customStyle="1" w:styleId="ldef">
    <w:name w:val="ldef"/>
    <w:basedOn w:val="DefaultParagraphFont"/>
    <w:rsid w:val="00D00F5E"/>
  </w:style>
  <w:style w:type="paragraph" w:customStyle="1" w:styleId="BodyText21">
    <w:name w:val="Body Text 21"/>
    <w:basedOn w:val="Normal"/>
    <w:rsid w:val="004B21A5"/>
    <w:pPr>
      <w:spacing w:after="0" w:line="240" w:lineRule="auto"/>
    </w:pPr>
    <w:rPr>
      <w:rFonts w:ascii="Times New Roman" w:eastAsia="Times New Roman" w:hAnsi="Times New Roman" w:cs="Times New Roman"/>
      <w:snapToGrid w:val="0"/>
      <w:szCs w:val="20"/>
      <w:lang w:eastAsia="bg-BG"/>
    </w:rPr>
  </w:style>
  <w:style w:type="paragraph" w:customStyle="1" w:styleId="Clause">
    <w:name w:val="Clause"/>
    <w:basedOn w:val="Normal"/>
    <w:autoRedefine/>
    <w:rsid w:val="00D67E90"/>
    <w:pPr>
      <w:numPr>
        <w:numId w:val="6"/>
      </w:numPr>
      <w:spacing w:after="120" w:line="240" w:lineRule="auto"/>
      <w:jc w:val="both"/>
    </w:pPr>
    <w:rPr>
      <w:rFonts w:ascii="Times New Roman" w:eastAsia="Times New Roman" w:hAnsi="Times New Roman" w:cs="Times New Roman"/>
      <w:snapToGrid w:val="0"/>
      <w:sz w:val="24"/>
      <w:szCs w:val="24"/>
    </w:rPr>
  </w:style>
  <w:style w:type="character" w:customStyle="1" w:styleId="Heading3Char">
    <w:name w:val="Heading 3 Char"/>
    <w:basedOn w:val="DefaultParagraphFont"/>
    <w:link w:val="Heading3"/>
    <w:uiPriority w:val="9"/>
    <w:semiHidden/>
    <w:rsid w:val="00C83120"/>
    <w:rPr>
      <w:rFonts w:asciiTheme="majorHAnsi" w:eastAsiaTheme="majorEastAsia" w:hAnsiTheme="majorHAnsi" w:cstheme="majorBidi"/>
      <w:b/>
      <w:bCs/>
      <w:color w:val="5B9BD5" w:themeColor="accent1"/>
    </w:rPr>
  </w:style>
  <w:style w:type="paragraph" w:styleId="Revision">
    <w:name w:val="Revision"/>
    <w:hidden/>
    <w:uiPriority w:val="99"/>
    <w:semiHidden/>
    <w:rsid w:val="00462B4A"/>
    <w:pPr>
      <w:spacing w:after="0" w:line="240" w:lineRule="auto"/>
    </w:pPr>
  </w:style>
  <w:style w:type="character" w:styleId="FollowedHyperlink">
    <w:name w:val="FollowedHyperlink"/>
    <w:basedOn w:val="DefaultParagraphFont"/>
    <w:uiPriority w:val="99"/>
    <w:semiHidden/>
    <w:unhideWhenUsed/>
    <w:rsid w:val="008378DE"/>
    <w:rPr>
      <w:color w:val="954F72" w:themeColor="followedHyperlink"/>
      <w:u w:val="single"/>
    </w:rPr>
  </w:style>
  <w:style w:type="paragraph" w:styleId="EndnoteText">
    <w:name w:val="endnote text"/>
    <w:basedOn w:val="Normal"/>
    <w:link w:val="EndnoteTextChar"/>
    <w:rsid w:val="009D2FBF"/>
    <w:pPr>
      <w:spacing w:after="0" w:line="240" w:lineRule="auto"/>
    </w:pPr>
    <w:rPr>
      <w:rFonts w:ascii="Times New Roman" w:eastAsia="Times New Roman" w:hAnsi="Times New Roman" w:cs="Times New Roman"/>
      <w:sz w:val="20"/>
      <w:szCs w:val="20"/>
      <w:lang w:eastAsia="bg-BG"/>
    </w:rPr>
  </w:style>
  <w:style w:type="character" w:customStyle="1" w:styleId="EndnoteTextChar">
    <w:name w:val="Endnote Text Char"/>
    <w:basedOn w:val="DefaultParagraphFont"/>
    <w:link w:val="EndnoteText"/>
    <w:rsid w:val="009D2FBF"/>
    <w:rPr>
      <w:rFonts w:ascii="Times New Roman" w:eastAsia="Times New Roman" w:hAnsi="Times New Roman" w:cs="Times New Roman"/>
      <w:sz w:val="20"/>
      <w:szCs w:val="20"/>
      <w:lang w:eastAsia="bg-BG"/>
    </w:rPr>
  </w:style>
  <w:style w:type="character" w:customStyle="1" w:styleId="apple-converted-space">
    <w:name w:val="apple-converted-space"/>
    <w:basedOn w:val="DefaultParagraphFont"/>
    <w:rsid w:val="0088472B"/>
  </w:style>
  <w:style w:type="table" w:customStyle="1" w:styleId="TableGrid1">
    <w:name w:val="Table Grid1"/>
    <w:basedOn w:val="TableNormal"/>
    <w:next w:val="TableGrid"/>
    <w:uiPriority w:val="59"/>
    <w:rsid w:val="008C69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B8195A"/>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Мрежа в таблица1"/>
    <w:basedOn w:val="TableNormal"/>
    <w:next w:val="TableGrid"/>
    <w:rsid w:val="00627EF7"/>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B316D"/>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ПАРАГРАФ Char,List1 Char,List Paragraph11 Char,List Paragraph111 Char"/>
    <w:link w:val="ListParagraph"/>
    <w:uiPriority w:val="99"/>
    <w:qFormat/>
    <w:locked/>
    <w:rsid w:val="00E60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5063">
      <w:bodyDiv w:val="1"/>
      <w:marLeft w:val="0"/>
      <w:marRight w:val="0"/>
      <w:marTop w:val="0"/>
      <w:marBottom w:val="0"/>
      <w:divBdr>
        <w:top w:val="none" w:sz="0" w:space="0" w:color="auto"/>
        <w:left w:val="none" w:sz="0" w:space="0" w:color="auto"/>
        <w:bottom w:val="none" w:sz="0" w:space="0" w:color="auto"/>
        <w:right w:val="none" w:sz="0" w:space="0" w:color="auto"/>
      </w:divBdr>
    </w:div>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425198813">
      <w:bodyDiv w:val="1"/>
      <w:marLeft w:val="0"/>
      <w:marRight w:val="0"/>
      <w:marTop w:val="0"/>
      <w:marBottom w:val="0"/>
      <w:divBdr>
        <w:top w:val="none" w:sz="0" w:space="0" w:color="auto"/>
        <w:left w:val="none" w:sz="0" w:space="0" w:color="auto"/>
        <w:bottom w:val="none" w:sz="0" w:space="0" w:color="auto"/>
        <w:right w:val="none" w:sz="0" w:space="0" w:color="auto"/>
      </w:divBdr>
    </w:div>
    <w:div w:id="722407753">
      <w:bodyDiv w:val="1"/>
      <w:marLeft w:val="0"/>
      <w:marRight w:val="0"/>
      <w:marTop w:val="0"/>
      <w:marBottom w:val="0"/>
      <w:divBdr>
        <w:top w:val="none" w:sz="0" w:space="0" w:color="auto"/>
        <w:left w:val="none" w:sz="0" w:space="0" w:color="auto"/>
        <w:bottom w:val="none" w:sz="0" w:space="0" w:color="auto"/>
        <w:right w:val="none" w:sz="0" w:space="0" w:color="auto"/>
      </w:divBdr>
    </w:div>
    <w:div w:id="816072085">
      <w:bodyDiv w:val="1"/>
      <w:marLeft w:val="0"/>
      <w:marRight w:val="0"/>
      <w:marTop w:val="0"/>
      <w:marBottom w:val="0"/>
      <w:divBdr>
        <w:top w:val="none" w:sz="0" w:space="0" w:color="auto"/>
        <w:left w:val="none" w:sz="0" w:space="0" w:color="auto"/>
        <w:bottom w:val="none" w:sz="0" w:space="0" w:color="auto"/>
        <w:right w:val="none" w:sz="0" w:space="0" w:color="auto"/>
      </w:divBdr>
    </w:div>
    <w:div w:id="995111244">
      <w:bodyDiv w:val="1"/>
      <w:marLeft w:val="0"/>
      <w:marRight w:val="0"/>
      <w:marTop w:val="0"/>
      <w:marBottom w:val="0"/>
      <w:divBdr>
        <w:top w:val="none" w:sz="0" w:space="0" w:color="auto"/>
        <w:left w:val="none" w:sz="0" w:space="0" w:color="auto"/>
        <w:bottom w:val="none" w:sz="0" w:space="0" w:color="auto"/>
        <w:right w:val="none" w:sz="0" w:space="0" w:color="auto"/>
      </w:divBdr>
    </w:div>
    <w:div w:id="184296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hiv2.mig-pomorie.eu/%D1%80%D0%B5%D0%B4-%D0%B7%D0%B0-%D0%BE%D1%86%D0%B5%D0%BD%D0%BA%D0%B0" TargetMode="External"/><Relationship Id="rId13" Type="http://schemas.openxmlformats.org/officeDocument/2006/relationships/hyperlink" Target="https://eumis2020.government.b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mis2020.government.bg/bg/s/Home/Manua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mis2020.government.bg/" TargetMode="External"/><Relationship Id="rId5" Type="http://schemas.openxmlformats.org/officeDocument/2006/relationships/webSettings" Target="webSettings.xml"/><Relationship Id="rId15" Type="http://schemas.openxmlformats.org/officeDocument/2006/relationships/hyperlink" Target="http://mig-pomorie.eu/" TargetMode="External"/><Relationship Id="rId10" Type="http://schemas.openxmlformats.org/officeDocument/2006/relationships/hyperlink" Target="http://eumis2020.government.b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x6T0AavwC68" TargetMode="External"/><Relationship Id="rId14" Type="http://schemas.openxmlformats.org/officeDocument/2006/relationships/hyperlink" Target="mailto:office@mig-pomorie.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7FEEC-CD14-4C0D-AFB9-DC9A5BD67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40</Pages>
  <Words>12142</Words>
  <Characters>69214</Characters>
  <Application>Microsoft Office Word</Application>
  <DocSecurity>0</DocSecurity>
  <Lines>576</Lines>
  <Paragraphs>162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Grizli777</Company>
  <LinksUpToDate>false</LinksUpToDate>
  <CharactersWithSpaces>81194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user</cp:lastModifiedBy>
  <cp:revision>74</cp:revision>
  <cp:lastPrinted>2020-02-13T08:55:00Z</cp:lastPrinted>
  <dcterms:created xsi:type="dcterms:W3CDTF">2020-01-31T10:53:00Z</dcterms:created>
  <dcterms:modified xsi:type="dcterms:W3CDTF">2022-01-20T11:15:00Z</dcterms:modified>
</cp:coreProperties>
</file>